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70AB" w:rsidRDefault="00DF70AB" w:rsidP="00DF70AB">
      <w:pPr>
        <w:rPr>
          <w:bCs/>
        </w:rPr>
      </w:pPr>
    </w:p>
    <w:p w:rsidR="00DF70AB" w:rsidRPr="003870AD" w:rsidRDefault="00DF70AB" w:rsidP="00DF70AB">
      <w:pPr>
        <w:jc w:val="center"/>
      </w:pPr>
      <w:r>
        <w:t xml:space="preserve">           </w:t>
      </w:r>
      <w:r w:rsidR="005352BF">
        <w:t xml:space="preserve">                          </w:t>
      </w:r>
      <w:r>
        <w:t>PRITARTA</w:t>
      </w:r>
    </w:p>
    <w:p w:rsidR="00DF70AB" w:rsidRPr="003870AD" w:rsidRDefault="00DF70AB" w:rsidP="00DF70AB">
      <w:r>
        <w:t xml:space="preserve">                                                           </w:t>
      </w:r>
      <w:r w:rsidR="005352BF">
        <w:t xml:space="preserve">                             </w:t>
      </w:r>
      <w:r>
        <w:t xml:space="preserve"> </w:t>
      </w:r>
      <w:r w:rsidRPr="003870AD">
        <w:t>Klaipėdos rajono savivaldybės tarybos</w:t>
      </w:r>
    </w:p>
    <w:p w:rsidR="00DF70AB" w:rsidRPr="00F36290" w:rsidRDefault="00DF70AB" w:rsidP="00DF70AB">
      <w:pPr>
        <w:tabs>
          <w:tab w:val="left" w:pos="6237"/>
        </w:tabs>
        <w:jc w:val="center"/>
      </w:pPr>
      <w:r>
        <w:t xml:space="preserve">                                                        </w:t>
      </w:r>
      <w:r w:rsidR="005352BF">
        <w:t xml:space="preserve">                            </w:t>
      </w:r>
      <w:r>
        <w:t>201</w:t>
      </w:r>
      <w:r w:rsidR="007E2A9E">
        <w:t>8</w:t>
      </w:r>
      <w:r>
        <w:t xml:space="preserve"> m. sausio 2</w:t>
      </w:r>
      <w:r w:rsidR="007E2A9E">
        <w:t>5</w:t>
      </w:r>
      <w:r>
        <w:t xml:space="preserve"> d.</w:t>
      </w:r>
      <w:r w:rsidRPr="003870AD">
        <w:t xml:space="preserve"> sprendimu Nr. T11-</w:t>
      </w:r>
      <w:r w:rsidR="000F19B2">
        <w:t>29</w:t>
      </w:r>
    </w:p>
    <w:p w:rsidR="00DF70AB" w:rsidRDefault="00DF70AB" w:rsidP="00DF70AB"/>
    <w:p w:rsidR="00DF70AB" w:rsidRDefault="00DF70AB" w:rsidP="00DF70AB">
      <w:pPr>
        <w:jc w:val="both"/>
        <w:rPr>
          <w:lang w:eastAsia="en-US"/>
        </w:rPr>
      </w:pPr>
    </w:p>
    <w:p w:rsidR="00DF70AB" w:rsidRDefault="00DF70AB" w:rsidP="00687CDD">
      <w:pPr>
        <w:jc w:val="center"/>
        <w:rPr>
          <w:b/>
          <w:bCs/>
        </w:rPr>
      </w:pPr>
      <w:r>
        <w:rPr>
          <w:b/>
          <w:bCs/>
        </w:rPr>
        <w:t>KONTROLĖS KOMITETO 201</w:t>
      </w:r>
      <w:r w:rsidR="00687CDD">
        <w:rPr>
          <w:b/>
          <w:bCs/>
        </w:rPr>
        <w:t>7</w:t>
      </w:r>
      <w:r>
        <w:rPr>
          <w:b/>
          <w:bCs/>
        </w:rPr>
        <w:t xml:space="preserve"> METŲ VEIKLOS</w:t>
      </w:r>
      <w:r w:rsidR="00687CDD">
        <w:rPr>
          <w:b/>
          <w:bCs/>
        </w:rPr>
        <w:t xml:space="preserve"> </w:t>
      </w:r>
      <w:r>
        <w:rPr>
          <w:b/>
          <w:bCs/>
        </w:rPr>
        <w:t>ATASKAITA</w:t>
      </w:r>
    </w:p>
    <w:p w:rsidR="00DF70AB" w:rsidRDefault="00DF70AB" w:rsidP="00DF70AB">
      <w:pPr>
        <w:ind w:firstLine="709"/>
        <w:jc w:val="both"/>
        <w:rPr>
          <w:b/>
          <w:bCs/>
        </w:rPr>
      </w:pPr>
    </w:p>
    <w:p w:rsidR="00DF70AB" w:rsidRDefault="00DF70AB" w:rsidP="00DF70AB">
      <w:pPr>
        <w:ind w:firstLine="1134"/>
        <w:jc w:val="both"/>
      </w:pPr>
      <w:r>
        <w:t>Vadovaujantis Lietuvos Respublikos vietos savivaldos įstatymo 14 straipsnio 2,4 dalimis, 16 straipsnio 2 dalies 6 punktu, Klaipėdos rajono savivaldybės t</w:t>
      </w:r>
      <w:bookmarkStart w:id="0" w:name="_GoBack"/>
      <w:bookmarkEnd w:id="0"/>
      <w:r>
        <w:t>arybos 2015 m. balandžio 23 d. sprendimu Nr. T11-8 sudarytas kontrolės komitetas iš 5 narių ir nustatyti jo įgaliojimai. Kontrolės komiteto nariai: Algirdas Liaudanskis (Komiteto pirmininkas), Jonas Dromantas (Komiteto pirmininko pavaduotojas), Martynas Pocius, Vaclovas Macijauskas, Česlovas Tarvydas.</w:t>
      </w:r>
    </w:p>
    <w:p w:rsidR="00D11B37" w:rsidRPr="00362E28" w:rsidRDefault="00DF70AB" w:rsidP="00D11B37">
      <w:pPr>
        <w:ind w:firstLine="1134"/>
        <w:jc w:val="both"/>
      </w:pPr>
      <w:r w:rsidRPr="00362E28">
        <w:t>Kontro</w:t>
      </w:r>
      <w:r>
        <w:t>lės komiteto veiklos tikslai – S</w:t>
      </w:r>
      <w:r w:rsidRPr="00362E28">
        <w:t>avivaldybės tarybos sprendimų vykdymo kokybė, efektyvus ir teisėtas savivaldybės biudžeto ir turto naudojimas, kontrolės rezultatų įgyvendinimo efektyvumas.</w:t>
      </w:r>
      <w:r>
        <w:t xml:space="preserve"> </w:t>
      </w:r>
      <w:r w:rsidRPr="00362E28">
        <w:t>Kontrolė padeda sėkmingai funkcionuoti, išvengti klaidų, jų nebekartoti ateityje.</w:t>
      </w:r>
      <w:r>
        <w:t xml:space="preserve"> </w:t>
      </w:r>
      <w:r w:rsidRPr="00362E28">
        <w:t>Be savalaikės ir tinkamos kontrolės sistemos sunku kryptingai siekti užsibrėžto tikslo ir jį sėkmingai įgyvendinti.</w:t>
      </w:r>
      <w:r>
        <w:t xml:space="preserve"> </w:t>
      </w:r>
      <w:r w:rsidRPr="00362E28">
        <w:t>Kontrolė turi apimti veiklos sritis visais lygiais, visą struktūrą ir funkcijas.</w:t>
      </w:r>
    </w:p>
    <w:p w:rsidR="00DF70AB" w:rsidRPr="00362E28" w:rsidRDefault="00DF70AB" w:rsidP="00DF70AB">
      <w:pPr>
        <w:ind w:firstLine="1134"/>
        <w:jc w:val="both"/>
      </w:pPr>
      <w:r w:rsidRPr="00362E28">
        <w:t>Kontrolės komiteto pagrindinė funkcija</w:t>
      </w:r>
      <w:r>
        <w:t xml:space="preserve"> </w:t>
      </w:r>
      <w:r w:rsidRPr="00362E28">
        <w:t>- svarstyti, teikti siūlymus veiklos planui, teikti Tarybai išvadas dėl Savivaldybės kontrolės ir audito tarnybos veiklos rezultatų, pagal parengtas kontrolieriaus ataskaitas bei įvertinti ateinančių metų veiklos planui įgyvendinti reikalingus asignavimus.</w:t>
      </w:r>
      <w:r>
        <w:t xml:space="preserve"> </w:t>
      </w:r>
      <w:r w:rsidRPr="00362E28">
        <w:t>Savo iniciatyva išklausyti institucijų, įstaigų ir įmonių vadovus dėl atlikto finansinio ir veiklos audito metu nustatytų trūkumų ar teisės aktų pažeidimų pašalinimo.</w:t>
      </w:r>
    </w:p>
    <w:p w:rsidR="00DF70AB" w:rsidRPr="00362E28" w:rsidRDefault="00DF70AB" w:rsidP="00DF70AB">
      <w:pPr>
        <w:ind w:firstLine="1134"/>
        <w:jc w:val="both"/>
      </w:pPr>
      <w:r w:rsidRPr="00362E28">
        <w:t>Kontrolės komiteto darbas yra kolegialus, posėdžiuose dalyvavo ir svarstomais klausimais nuomonę išsakė ne tik komiteto nariai, bet ir Savivaldybės kontrolės ir audito tarnyba, Savivaldybės administracijos direktorius bei pavaduotojai, taip pat su svarstomais klausimais susiję kiti administracijos darbuotojai.</w:t>
      </w:r>
    </w:p>
    <w:p w:rsidR="00DF70AB" w:rsidRPr="00362E28" w:rsidRDefault="00DF70AB" w:rsidP="00DF70AB">
      <w:pPr>
        <w:ind w:firstLine="1134"/>
        <w:jc w:val="both"/>
      </w:pPr>
      <w:r w:rsidRPr="00362E28">
        <w:t>Kontrolės komitetas dirbo pagal komiteto parengtą ir Klaipėdos rajono savivaldybės tarybos patvirtintą 201</w:t>
      </w:r>
      <w:r w:rsidR="00D11B37">
        <w:t>7</w:t>
      </w:r>
      <w:r w:rsidRPr="00362E28">
        <w:t xml:space="preserve"> metų veiklos programą.</w:t>
      </w:r>
      <w:r>
        <w:t xml:space="preserve"> Komitetas 201</w:t>
      </w:r>
      <w:r w:rsidR="00D11B37">
        <w:t>7</w:t>
      </w:r>
      <w:r>
        <w:t xml:space="preserve"> metais posėdžių metu </w:t>
      </w:r>
      <w:r w:rsidRPr="00362E28">
        <w:t>apsvarstė daug klausimų:</w:t>
      </w:r>
    </w:p>
    <w:p w:rsidR="00687CDD" w:rsidRPr="00687CDD" w:rsidRDefault="00DF70AB" w:rsidP="00687CDD">
      <w:pPr>
        <w:ind w:firstLine="1134"/>
        <w:jc w:val="both"/>
      </w:pPr>
      <w:r>
        <w:t xml:space="preserve">- </w:t>
      </w:r>
      <w:r w:rsidRPr="00362E28">
        <w:t>Išklausė Klaipėdos rajono savivaldybės kontrolės ir audito tarnybos 201</w:t>
      </w:r>
      <w:r w:rsidR="00D11B37">
        <w:t>7</w:t>
      </w:r>
      <w:r w:rsidRPr="00362E28">
        <w:t xml:space="preserve"> metų I, II, III ir IV ketvirčių veiklos plano įgyvendinimo pristatymus.</w:t>
      </w:r>
      <w:r>
        <w:t xml:space="preserve"> </w:t>
      </w:r>
      <w:r w:rsidRPr="00362E28">
        <w:t>Išklausė pateiktą išsamią informaciją apie nagrinėjamus klausimus;</w:t>
      </w:r>
      <w:bookmarkStart w:id="1" w:name="_Hlk503767633"/>
    </w:p>
    <w:p w:rsidR="00687CDD" w:rsidRDefault="00687CDD" w:rsidP="00687CDD">
      <w:pPr>
        <w:ind w:firstLine="1134"/>
        <w:jc w:val="both"/>
      </w:pPr>
      <w:r w:rsidRPr="001549BA">
        <w:t xml:space="preserve"> - Nagrinėjo bendruomenių atstovų pranešimus apie Gargždų sporto centrui skiriamų lėšų patekimą tiesiogiai privačiam klubui bei Priekulės Liuteronų bažnyčios remontui skiriamų lėšų panaudojimo teisėtumą</w:t>
      </w:r>
      <w:r>
        <w:t xml:space="preserve">. </w:t>
      </w:r>
      <w:r w:rsidR="005D458E">
        <w:t>Savivaldybės k</w:t>
      </w:r>
      <w:r w:rsidRPr="001549BA">
        <w:t>ontrolierių pagalba išsiaiškin</w:t>
      </w:r>
      <w:r w:rsidR="005D458E">
        <w:t>ta</w:t>
      </w:r>
      <w:r w:rsidRPr="001549BA">
        <w:t>, kad nėra grįžtamojo ryšio (ataskaitų) apie lėšų panaudojimą.</w:t>
      </w:r>
      <w:r>
        <w:t xml:space="preserve"> </w:t>
      </w:r>
      <w:r w:rsidRPr="001549BA">
        <w:t xml:space="preserve">Pavesta </w:t>
      </w:r>
      <w:r>
        <w:t>K</w:t>
      </w:r>
      <w:r w:rsidRPr="001549BA">
        <w:t>ontrolės ir audito tarnybai nuodugniai ištirti lėšų panaudojimo teisėtumą;</w:t>
      </w:r>
    </w:p>
    <w:p w:rsidR="007F1BB6" w:rsidRPr="007F1BB6" w:rsidRDefault="007F1BB6" w:rsidP="007F1BB6">
      <w:pPr>
        <w:ind w:firstLine="1134"/>
        <w:jc w:val="both"/>
        <w:rPr>
          <w:b/>
          <w:bCs/>
        </w:rPr>
      </w:pPr>
      <w:r>
        <w:t>- Nagrinėjo Kontrolės ir audito tarnybos ataskaitą. Komitetas pastebėjo, kad nėra patvirtinta tvarka, kuri reglamentuotų informacijos apie Klaipėdos rajono savivaldybę teikimą socialiniuose tinkluose. Prasidedant tikrinimui, kai kurie atsakingi asmenys bendru sutarimu bandė nuspręsti, kas ir kokiu periodiškumu ir kokią informaciją teiks visuomenės informavimo priemonėse bei kokio dydžio nuotraukos bus dedamos prie informacinių pranešimų. Su šia tvarka nebuvo supažindinta Savivaldybės taryba. Kadangi informavimui yra naudojamos Savivaldybės biudžeto lėšos už informavimo tvarkos aprašo teisingumą bei lėšų panaudojimą yra atsakinga Savivaldybės taryba;</w:t>
      </w:r>
    </w:p>
    <w:p w:rsidR="007F1BB6" w:rsidRPr="001549BA" w:rsidRDefault="007F1BB6" w:rsidP="007F1BB6">
      <w:pPr>
        <w:ind w:firstLine="1134"/>
        <w:jc w:val="both"/>
      </w:pPr>
      <w:r>
        <w:t xml:space="preserve">- Nagrinėjo Savivaldybės administracijos darbuotojų ataskaitas už tarnybines komandiruotes ir įsitikino, kad teikiamos tik finansinės ataskaitos, o ataskaitos apie tarnybinių komandiruočių naudą bei grįžtamąjį ryšį Savivaldybei, kol kas teikiamos nebuvo. Administracijos direktoriaus įsakymu sudaryta darbo grupė, atsižvelgdama į Kontrolės komiteto pastabas bei siūlymus, „Vykimo į tarnybines komandiruotes tvarkos aprašą“ rengė beveik metus laiko, todėl vertinti komandiruočių naudingumą Savivaldybei, nebuvo galimybės. Parengtame vykimo į </w:t>
      </w:r>
      <w:r>
        <w:lastRenderedPageBreak/>
        <w:t xml:space="preserve">tarnybines komandiruotes tvarkos apraše-ataskaitoje pasigendama paties komandiruotės dalyvio </w:t>
      </w:r>
      <w:r w:rsidR="00F92F85">
        <w:t>-</w:t>
      </w:r>
      <w:r>
        <w:t xml:space="preserve"> ataskaitos pildytojo, vykusio į komandiruotę, vertinimo Savivaldybei gautos naudos aspektu.</w:t>
      </w:r>
    </w:p>
    <w:p w:rsidR="00687CDD" w:rsidRPr="001549BA" w:rsidRDefault="00687CDD" w:rsidP="00687CDD">
      <w:pPr>
        <w:ind w:firstLine="1134"/>
        <w:jc w:val="both"/>
      </w:pPr>
      <w:r w:rsidRPr="001549BA">
        <w:t xml:space="preserve">- Nagrinėjo religinių bendruomenių rėmimą ir inicijavo, kad </w:t>
      </w:r>
      <w:r>
        <w:t>K</w:t>
      </w:r>
      <w:r w:rsidRPr="001549BA">
        <w:t>ontrolės ir audito tarnyba atliktų „Klaipėdos rajono tradicinių religinių bendruomenių ir bendrijų rėmimo programos įgyvendinimo 2016 metais“ analizę.</w:t>
      </w:r>
      <w:r>
        <w:t xml:space="preserve"> </w:t>
      </w:r>
      <w:r w:rsidRPr="001549BA">
        <w:t>Pateikė siūlymą Savivaldybės administracijai strateginiame veiklos plane nusimatyti konkrečią sumą metams religinių bendruomenių finansavimui, kad metų eigoje išvengti papildomų religinių bendruomenių prašymų bei svarstymų;</w:t>
      </w:r>
    </w:p>
    <w:p w:rsidR="00687CDD" w:rsidRDefault="00687CDD" w:rsidP="00687CDD">
      <w:pPr>
        <w:ind w:firstLine="1134"/>
        <w:jc w:val="both"/>
      </w:pPr>
      <w:r w:rsidRPr="001549BA">
        <w:t xml:space="preserve">- Nagrinėjo Savivaldybės kontroliuojamų UAB „Gargždų turgus“ ir UAB „Stotis“ valdymo teisingumą, valdybų priimamus sprendimus ir pasiūlė Savivaldybės tarybai: </w:t>
      </w:r>
    </w:p>
    <w:p w:rsidR="00687CDD" w:rsidRDefault="00687CDD" w:rsidP="00687CDD">
      <w:pPr>
        <w:ind w:firstLine="1134"/>
        <w:jc w:val="both"/>
      </w:pPr>
      <w:r w:rsidRPr="001549BA">
        <w:t xml:space="preserve">a) keisti UAB „Gargždų turgus“ valdybos sudėtį; </w:t>
      </w:r>
    </w:p>
    <w:p w:rsidR="00687CDD" w:rsidRPr="001549BA" w:rsidRDefault="00687CDD" w:rsidP="00687CDD">
      <w:pPr>
        <w:ind w:firstLine="1134"/>
        <w:jc w:val="both"/>
      </w:pPr>
      <w:r w:rsidRPr="001549BA">
        <w:t xml:space="preserve">b) </w:t>
      </w:r>
      <w:r>
        <w:t>vadovaujantis</w:t>
      </w:r>
      <w:r w:rsidRPr="001549BA">
        <w:t xml:space="preserve"> audito išvadomis pasiūlė įpareigoti UAB „Stotis“ valdybos nariams keisti įmonės direktorių;</w:t>
      </w:r>
    </w:p>
    <w:p w:rsidR="00687CDD" w:rsidRPr="001549BA" w:rsidRDefault="00687CDD" w:rsidP="00687CDD">
      <w:pPr>
        <w:ind w:firstLine="1134"/>
        <w:jc w:val="both"/>
      </w:pPr>
      <w:r w:rsidRPr="001549BA">
        <w:t>- Išklausė bei pritarė Savivaldybės kontrolės ir audito tarnybos veiklos už 2016 metus ataskaitai bei teikė Savivaldybės tarybai teigiamą išvadą;</w:t>
      </w:r>
    </w:p>
    <w:p w:rsidR="00687CDD" w:rsidRPr="001549BA" w:rsidRDefault="00687CDD" w:rsidP="00687CDD">
      <w:pPr>
        <w:ind w:firstLine="1134"/>
        <w:jc w:val="both"/>
      </w:pPr>
      <w:r w:rsidRPr="001549BA">
        <w:t>- Teikė siūlymus bei pritarė Kontrolės ir audito tarnybos parengtam 2018 metų veiklos plano projektui;</w:t>
      </w:r>
    </w:p>
    <w:p w:rsidR="00687CDD" w:rsidRPr="001549BA" w:rsidRDefault="00687CDD" w:rsidP="00687CDD">
      <w:pPr>
        <w:ind w:firstLine="1134"/>
        <w:jc w:val="both"/>
      </w:pPr>
      <w:r w:rsidRPr="001549BA">
        <w:t>- Peržiūrėjo bei pritarė Kontrolės ir audito tarnybos 2018 metų veiklos plano įgyvendinimui reikalingiems asignavimams;</w:t>
      </w:r>
    </w:p>
    <w:p w:rsidR="00687CDD" w:rsidRPr="001549BA" w:rsidRDefault="00687CDD" w:rsidP="00687CDD">
      <w:pPr>
        <w:ind w:firstLine="1134"/>
        <w:jc w:val="both"/>
      </w:pPr>
      <w:r w:rsidRPr="001549BA">
        <w:t>- Patvirtino Kontrolės komiteto pirmininko parengtą 2018 metų Kontrolės komiteto programą;</w:t>
      </w:r>
    </w:p>
    <w:p w:rsidR="00687CDD" w:rsidRPr="001549BA" w:rsidRDefault="00687CDD" w:rsidP="00687CDD">
      <w:pPr>
        <w:ind w:firstLine="1134"/>
        <w:jc w:val="both"/>
      </w:pPr>
      <w:r w:rsidRPr="001549BA">
        <w:t xml:space="preserve">- Išnagrinėjo Kontrolės ir audito tarnybos veiklos planų įgyvendinimo galimybes, darbo laiko ataskaitą bei analogiškas situacijas kitose savivaldybėse ir pateikė Savivaldybės tarybai siūlymą (nekuriant kontrolieriaus 4 etato) dėl papildomų lėšų numatymo planuojant 2018 metų Savivaldybės biudžetą, viešųjų įstaigų finansinio audito atlikimo paslaugos pirkimui; </w:t>
      </w:r>
    </w:p>
    <w:p w:rsidR="00687CDD" w:rsidRPr="001549BA" w:rsidRDefault="00687CDD" w:rsidP="00687CDD">
      <w:pPr>
        <w:ind w:firstLine="1134"/>
        <w:jc w:val="both"/>
      </w:pPr>
      <w:r w:rsidRPr="001549BA">
        <w:t>- Pradėjo nagrinėti 1999 metų kovo 25 dienos sprendimo Nr. 150</w:t>
      </w:r>
      <w:r>
        <w:t xml:space="preserve"> </w:t>
      </w:r>
      <w:r>
        <w:rPr>
          <w:color w:val="000000"/>
          <w:shd w:val="clear" w:color="auto" w:fill="FFFFFF"/>
        </w:rPr>
        <w:t xml:space="preserve">,,Dėl teritorijų, naudojamų visuomenės poreikiams, plotų ir jų ribų patvirtinimo“ </w:t>
      </w:r>
      <w:r w:rsidRPr="001549BA">
        <w:t>teritorijų visuomenės poreikiams pasikeitimus iki 2017 metų.</w:t>
      </w:r>
    </w:p>
    <w:p w:rsidR="00687CDD" w:rsidRDefault="00687CDD" w:rsidP="00687CDD">
      <w:pPr>
        <w:ind w:firstLine="1134"/>
      </w:pPr>
      <w:r w:rsidRPr="001549BA">
        <w:t>2017 metais vyko 6 Kontrolės komiteto posėdžiai.</w:t>
      </w:r>
      <w:r>
        <w:t xml:space="preserve"> </w:t>
      </w:r>
      <w:r w:rsidRPr="001549BA">
        <w:t>Kontrolės komiteto narių posėdžių lankomumas pateiktas 1 lentelėje</w:t>
      </w:r>
      <w:r>
        <w:t>.</w:t>
      </w:r>
    </w:p>
    <w:p w:rsidR="00687CDD" w:rsidRDefault="00687CDD" w:rsidP="00687CDD"/>
    <w:p w:rsidR="00687CDD" w:rsidRDefault="00687CDD" w:rsidP="00687CDD">
      <w:pPr>
        <w:jc w:val="both"/>
        <w:rPr>
          <w:bCs/>
        </w:rPr>
      </w:pPr>
      <w:r>
        <w:rPr>
          <w:bCs/>
        </w:rPr>
        <w:t>1 lentelė. Kontrolės komiteto narių dalyvavimas posėdžiuose</w:t>
      </w:r>
    </w:p>
    <w:p w:rsidR="00687CDD" w:rsidRDefault="00687CDD" w:rsidP="00687CDD">
      <w:pPr>
        <w:jc w:val="both"/>
        <w:rPr>
          <w:bCs/>
        </w:rPr>
      </w:pPr>
    </w:p>
    <w:p w:rsidR="00687CDD" w:rsidRDefault="00687CDD" w:rsidP="00687CDD">
      <w:pPr>
        <w:jc w:val="both"/>
        <w:rPr>
          <w:bCs/>
          <w:lang w:eastAsia="en-US"/>
        </w:rPr>
      </w:pPr>
    </w:p>
    <w:tbl>
      <w:tblPr>
        <w:tblStyle w:val="Lentelstinklelis"/>
        <w:tblW w:w="0" w:type="auto"/>
        <w:tblInd w:w="-147" w:type="dxa"/>
        <w:tblLook w:val="04A0" w:firstRow="1" w:lastRow="0" w:firstColumn="1" w:lastColumn="0" w:noHBand="0" w:noVBand="1"/>
      </w:tblPr>
      <w:tblGrid>
        <w:gridCol w:w="2410"/>
        <w:gridCol w:w="851"/>
        <w:gridCol w:w="850"/>
        <w:gridCol w:w="851"/>
        <w:gridCol w:w="992"/>
        <w:gridCol w:w="992"/>
        <w:gridCol w:w="993"/>
        <w:gridCol w:w="1836"/>
      </w:tblGrid>
      <w:tr w:rsidR="00687CDD" w:rsidTr="00FD13EB">
        <w:tc>
          <w:tcPr>
            <w:tcW w:w="2410" w:type="dxa"/>
            <w:vMerge w:val="restart"/>
          </w:tcPr>
          <w:p w:rsidR="00687CDD" w:rsidRPr="00F1695C" w:rsidRDefault="00687CDD" w:rsidP="00FD13EB">
            <w:pPr>
              <w:rPr>
                <w:b/>
                <w:bCs/>
              </w:rPr>
            </w:pPr>
            <w:r w:rsidRPr="00F1695C">
              <w:rPr>
                <w:b/>
                <w:bCs/>
              </w:rPr>
              <w:t>Tarybos nario pavardė</w:t>
            </w:r>
          </w:p>
        </w:tc>
        <w:tc>
          <w:tcPr>
            <w:tcW w:w="2552" w:type="dxa"/>
            <w:gridSpan w:val="3"/>
          </w:tcPr>
          <w:p w:rsidR="00687CDD" w:rsidRPr="00F1695C" w:rsidRDefault="00687CDD" w:rsidP="00FD13EB">
            <w:pPr>
              <w:jc w:val="both"/>
              <w:rPr>
                <w:b/>
                <w:bCs/>
              </w:rPr>
            </w:pPr>
            <w:r w:rsidRPr="00F1695C">
              <w:rPr>
                <w:b/>
                <w:bCs/>
              </w:rPr>
              <w:t>Posėdžio data</w:t>
            </w:r>
          </w:p>
        </w:tc>
        <w:tc>
          <w:tcPr>
            <w:tcW w:w="992" w:type="dxa"/>
          </w:tcPr>
          <w:p w:rsidR="00687CDD" w:rsidRDefault="00687CDD" w:rsidP="00FD13EB">
            <w:pPr>
              <w:jc w:val="both"/>
              <w:rPr>
                <w:bCs/>
              </w:rPr>
            </w:pPr>
          </w:p>
        </w:tc>
        <w:tc>
          <w:tcPr>
            <w:tcW w:w="992" w:type="dxa"/>
          </w:tcPr>
          <w:p w:rsidR="00687CDD" w:rsidRDefault="00687CDD" w:rsidP="00FD13EB">
            <w:pPr>
              <w:jc w:val="both"/>
              <w:rPr>
                <w:bCs/>
              </w:rPr>
            </w:pPr>
          </w:p>
        </w:tc>
        <w:tc>
          <w:tcPr>
            <w:tcW w:w="993" w:type="dxa"/>
          </w:tcPr>
          <w:p w:rsidR="00687CDD" w:rsidRDefault="00687CDD" w:rsidP="00FD13EB">
            <w:pPr>
              <w:jc w:val="both"/>
              <w:rPr>
                <w:bCs/>
              </w:rPr>
            </w:pPr>
          </w:p>
        </w:tc>
        <w:tc>
          <w:tcPr>
            <w:tcW w:w="1836" w:type="dxa"/>
          </w:tcPr>
          <w:p w:rsidR="00687CDD" w:rsidRDefault="00687CDD" w:rsidP="00FD13EB">
            <w:pPr>
              <w:jc w:val="both"/>
              <w:rPr>
                <w:b/>
                <w:bCs/>
              </w:rPr>
            </w:pPr>
            <w:r>
              <w:rPr>
                <w:b/>
                <w:bCs/>
              </w:rPr>
              <w:t>Nedalyvavo</w:t>
            </w:r>
          </w:p>
          <w:p w:rsidR="00687CDD" w:rsidRDefault="00687CDD" w:rsidP="00FD13EB">
            <w:pPr>
              <w:jc w:val="both"/>
              <w:rPr>
                <w:bCs/>
              </w:rPr>
            </w:pPr>
            <w:r>
              <w:rPr>
                <w:b/>
                <w:bCs/>
              </w:rPr>
              <w:t>viso (kartų)</w:t>
            </w:r>
          </w:p>
        </w:tc>
      </w:tr>
      <w:tr w:rsidR="00687CDD" w:rsidTr="00FD13EB">
        <w:tc>
          <w:tcPr>
            <w:tcW w:w="2410" w:type="dxa"/>
            <w:vMerge/>
          </w:tcPr>
          <w:p w:rsidR="00687CDD" w:rsidRPr="003D4B67" w:rsidRDefault="00687CDD" w:rsidP="00FD13EB">
            <w:pPr>
              <w:jc w:val="both"/>
              <w:rPr>
                <w:bCs/>
              </w:rPr>
            </w:pPr>
          </w:p>
        </w:tc>
        <w:tc>
          <w:tcPr>
            <w:tcW w:w="851" w:type="dxa"/>
          </w:tcPr>
          <w:p w:rsidR="00687CDD" w:rsidRDefault="00687CDD" w:rsidP="00FD13EB">
            <w:pPr>
              <w:jc w:val="both"/>
              <w:rPr>
                <w:bCs/>
              </w:rPr>
            </w:pPr>
            <w:r>
              <w:rPr>
                <w:bCs/>
              </w:rPr>
              <w:t>02-06</w:t>
            </w:r>
          </w:p>
        </w:tc>
        <w:tc>
          <w:tcPr>
            <w:tcW w:w="850" w:type="dxa"/>
          </w:tcPr>
          <w:p w:rsidR="00687CDD" w:rsidRDefault="00687CDD" w:rsidP="00FD13EB">
            <w:pPr>
              <w:jc w:val="both"/>
              <w:rPr>
                <w:bCs/>
              </w:rPr>
            </w:pPr>
            <w:r>
              <w:rPr>
                <w:bCs/>
              </w:rPr>
              <w:t>05-19</w:t>
            </w:r>
          </w:p>
        </w:tc>
        <w:tc>
          <w:tcPr>
            <w:tcW w:w="851" w:type="dxa"/>
          </w:tcPr>
          <w:p w:rsidR="00687CDD" w:rsidRDefault="00687CDD" w:rsidP="00FD13EB">
            <w:pPr>
              <w:jc w:val="both"/>
              <w:rPr>
                <w:bCs/>
              </w:rPr>
            </w:pPr>
            <w:r>
              <w:rPr>
                <w:bCs/>
              </w:rPr>
              <w:t>08-21</w:t>
            </w:r>
          </w:p>
        </w:tc>
        <w:tc>
          <w:tcPr>
            <w:tcW w:w="992" w:type="dxa"/>
          </w:tcPr>
          <w:p w:rsidR="00687CDD" w:rsidRDefault="00687CDD" w:rsidP="00FD13EB">
            <w:pPr>
              <w:jc w:val="both"/>
              <w:rPr>
                <w:bCs/>
              </w:rPr>
            </w:pPr>
            <w:r>
              <w:rPr>
                <w:bCs/>
              </w:rPr>
              <w:t>10-11</w:t>
            </w:r>
          </w:p>
        </w:tc>
        <w:tc>
          <w:tcPr>
            <w:tcW w:w="992" w:type="dxa"/>
          </w:tcPr>
          <w:p w:rsidR="00687CDD" w:rsidRDefault="00687CDD" w:rsidP="00FD13EB">
            <w:pPr>
              <w:jc w:val="both"/>
              <w:rPr>
                <w:bCs/>
              </w:rPr>
            </w:pPr>
            <w:r>
              <w:rPr>
                <w:bCs/>
              </w:rPr>
              <w:t>10-31</w:t>
            </w:r>
          </w:p>
        </w:tc>
        <w:tc>
          <w:tcPr>
            <w:tcW w:w="993" w:type="dxa"/>
          </w:tcPr>
          <w:p w:rsidR="00687CDD" w:rsidRDefault="00687CDD" w:rsidP="00FD13EB">
            <w:pPr>
              <w:jc w:val="both"/>
              <w:rPr>
                <w:bCs/>
              </w:rPr>
            </w:pPr>
            <w:r>
              <w:rPr>
                <w:bCs/>
              </w:rPr>
              <w:t>12-18</w:t>
            </w:r>
          </w:p>
        </w:tc>
        <w:tc>
          <w:tcPr>
            <w:tcW w:w="1836" w:type="dxa"/>
          </w:tcPr>
          <w:p w:rsidR="00687CDD" w:rsidRDefault="00687CDD" w:rsidP="00FD13EB">
            <w:pPr>
              <w:jc w:val="both"/>
              <w:rPr>
                <w:bCs/>
              </w:rPr>
            </w:pPr>
          </w:p>
        </w:tc>
      </w:tr>
      <w:tr w:rsidR="00687CDD" w:rsidTr="00FD13EB">
        <w:tc>
          <w:tcPr>
            <w:tcW w:w="2410" w:type="dxa"/>
          </w:tcPr>
          <w:p w:rsidR="00687CDD" w:rsidRDefault="00687CDD" w:rsidP="00FD13EB">
            <w:pPr>
              <w:jc w:val="both"/>
              <w:rPr>
                <w:bCs/>
              </w:rPr>
            </w:pPr>
            <w:bookmarkStart w:id="2" w:name="_Hlk503768945"/>
            <w:bookmarkStart w:id="3" w:name="_Hlk503768863"/>
            <w:r>
              <w:rPr>
                <w:bCs/>
              </w:rPr>
              <w:t>J. Dromantas</w:t>
            </w:r>
          </w:p>
        </w:tc>
        <w:tc>
          <w:tcPr>
            <w:tcW w:w="851" w:type="dxa"/>
          </w:tcPr>
          <w:p w:rsidR="00687CDD" w:rsidRDefault="00687CDD" w:rsidP="00FD13EB">
            <w:pPr>
              <w:jc w:val="both"/>
              <w:rPr>
                <w:bCs/>
              </w:rPr>
            </w:pPr>
            <w:r>
              <w:rPr>
                <w:b/>
                <w:bCs/>
              </w:rPr>
              <w:t>+</w:t>
            </w:r>
          </w:p>
        </w:tc>
        <w:tc>
          <w:tcPr>
            <w:tcW w:w="850" w:type="dxa"/>
          </w:tcPr>
          <w:p w:rsidR="00687CDD" w:rsidRDefault="00687CDD" w:rsidP="00FD13EB">
            <w:pPr>
              <w:jc w:val="both"/>
              <w:rPr>
                <w:bCs/>
              </w:rPr>
            </w:pPr>
            <w:r>
              <w:rPr>
                <w:b/>
                <w:bCs/>
              </w:rPr>
              <w:t>-</w:t>
            </w:r>
          </w:p>
        </w:tc>
        <w:tc>
          <w:tcPr>
            <w:tcW w:w="851" w:type="dxa"/>
          </w:tcPr>
          <w:p w:rsidR="00687CDD" w:rsidRDefault="00687CDD" w:rsidP="00FD13EB">
            <w:pPr>
              <w:jc w:val="both"/>
              <w:rPr>
                <w:bCs/>
              </w:rPr>
            </w:pPr>
            <w:r>
              <w:rPr>
                <w:b/>
                <w:bCs/>
              </w:rPr>
              <w:t>+</w:t>
            </w:r>
          </w:p>
        </w:tc>
        <w:tc>
          <w:tcPr>
            <w:tcW w:w="992" w:type="dxa"/>
          </w:tcPr>
          <w:p w:rsidR="00687CDD" w:rsidRDefault="00687CDD" w:rsidP="00FD13EB">
            <w:pPr>
              <w:jc w:val="both"/>
              <w:rPr>
                <w:bCs/>
              </w:rPr>
            </w:pPr>
            <w:r>
              <w:rPr>
                <w:b/>
                <w:bCs/>
              </w:rPr>
              <w:t>-</w:t>
            </w:r>
          </w:p>
        </w:tc>
        <w:tc>
          <w:tcPr>
            <w:tcW w:w="992" w:type="dxa"/>
          </w:tcPr>
          <w:p w:rsidR="00687CDD" w:rsidRDefault="00687CDD" w:rsidP="00FD13EB">
            <w:pPr>
              <w:jc w:val="both"/>
              <w:rPr>
                <w:bCs/>
              </w:rPr>
            </w:pPr>
            <w:r>
              <w:rPr>
                <w:b/>
                <w:bCs/>
              </w:rPr>
              <w:t>+</w:t>
            </w:r>
          </w:p>
        </w:tc>
        <w:tc>
          <w:tcPr>
            <w:tcW w:w="993" w:type="dxa"/>
          </w:tcPr>
          <w:p w:rsidR="00687CDD" w:rsidRDefault="00687CDD" w:rsidP="00FD13EB">
            <w:pPr>
              <w:jc w:val="both"/>
              <w:rPr>
                <w:bCs/>
              </w:rPr>
            </w:pPr>
            <w:r>
              <w:rPr>
                <w:b/>
                <w:bCs/>
              </w:rPr>
              <w:t>+</w:t>
            </w:r>
          </w:p>
        </w:tc>
        <w:tc>
          <w:tcPr>
            <w:tcW w:w="1836" w:type="dxa"/>
          </w:tcPr>
          <w:p w:rsidR="00687CDD" w:rsidRPr="00F1695C" w:rsidRDefault="00687CDD" w:rsidP="00FD13EB">
            <w:pPr>
              <w:jc w:val="center"/>
              <w:rPr>
                <w:b/>
                <w:bCs/>
              </w:rPr>
            </w:pPr>
            <w:r w:rsidRPr="00F1695C">
              <w:rPr>
                <w:b/>
                <w:bCs/>
              </w:rPr>
              <w:t>2</w:t>
            </w:r>
          </w:p>
        </w:tc>
      </w:tr>
      <w:tr w:rsidR="00687CDD" w:rsidTr="00FD13EB">
        <w:tc>
          <w:tcPr>
            <w:tcW w:w="2410" w:type="dxa"/>
          </w:tcPr>
          <w:p w:rsidR="00687CDD" w:rsidRDefault="00687CDD" w:rsidP="00FD13EB">
            <w:pPr>
              <w:jc w:val="both"/>
              <w:rPr>
                <w:bCs/>
              </w:rPr>
            </w:pPr>
            <w:r>
              <w:rPr>
                <w:bCs/>
              </w:rPr>
              <w:t>V. Macijauskas</w:t>
            </w:r>
          </w:p>
        </w:tc>
        <w:tc>
          <w:tcPr>
            <w:tcW w:w="851" w:type="dxa"/>
          </w:tcPr>
          <w:p w:rsidR="00687CDD" w:rsidRDefault="00687CDD" w:rsidP="00FD13EB">
            <w:pPr>
              <w:jc w:val="both"/>
              <w:rPr>
                <w:bCs/>
              </w:rPr>
            </w:pPr>
            <w:r>
              <w:rPr>
                <w:b/>
                <w:bCs/>
              </w:rPr>
              <w:t>+</w:t>
            </w:r>
          </w:p>
        </w:tc>
        <w:tc>
          <w:tcPr>
            <w:tcW w:w="850" w:type="dxa"/>
          </w:tcPr>
          <w:p w:rsidR="00687CDD" w:rsidRDefault="00687CDD" w:rsidP="00FD13EB">
            <w:pPr>
              <w:jc w:val="both"/>
              <w:rPr>
                <w:bCs/>
              </w:rPr>
            </w:pPr>
            <w:r>
              <w:rPr>
                <w:b/>
                <w:bCs/>
              </w:rPr>
              <w:t>+</w:t>
            </w:r>
          </w:p>
        </w:tc>
        <w:tc>
          <w:tcPr>
            <w:tcW w:w="851" w:type="dxa"/>
          </w:tcPr>
          <w:p w:rsidR="00687CDD" w:rsidRDefault="00687CDD" w:rsidP="00FD13EB">
            <w:pPr>
              <w:jc w:val="both"/>
              <w:rPr>
                <w:bCs/>
              </w:rPr>
            </w:pPr>
            <w:r>
              <w:rPr>
                <w:b/>
                <w:bCs/>
              </w:rPr>
              <w:t>+</w:t>
            </w:r>
          </w:p>
        </w:tc>
        <w:tc>
          <w:tcPr>
            <w:tcW w:w="992" w:type="dxa"/>
          </w:tcPr>
          <w:p w:rsidR="00687CDD" w:rsidRDefault="00687CDD" w:rsidP="00FD13EB">
            <w:pPr>
              <w:jc w:val="both"/>
              <w:rPr>
                <w:bCs/>
              </w:rPr>
            </w:pPr>
            <w:r>
              <w:rPr>
                <w:b/>
                <w:bCs/>
              </w:rPr>
              <w:t>-</w:t>
            </w:r>
          </w:p>
        </w:tc>
        <w:tc>
          <w:tcPr>
            <w:tcW w:w="992" w:type="dxa"/>
          </w:tcPr>
          <w:p w:rsidR="00687CDD" w:rsidRDefault="00687CDD" w:rsidP="00FD13EB">
            <w:pPr>
              <w:jc w:val="both"/>
              <w:rPr>
                <w:bCs/>
              </w:rPr>
            </w:pPr>
            <w:r>
              <w:rPr>
                <w:b/>
                <w:bCs/>
              </w:rPr>
              <w:t>+</w:t>
            </w:r>
          </w:p>
        </w:tc>
        <w:tc>
          <w:tcPr>
            <w:tcW w:w="993" w:type="dxa"/>
          </w:tcPr>
          <w:p w:rsidR="00687CDD" w:rsidRDefault="00687CDD" w:rsidP="00FD13EB">
            <w:pPr>
              <w:jc w:val="both"/>
              <w:rPr>
                <w:bCs/>
              </w:rPr>
            </w:pPr>
            <w:r>
              <w:rPr>
                <w:b/>
                <w:bCs/>
              </w:rPr>
              <w:t>+</w:t>
            </w:r>
          </w:p>
        </w:tc>
        <w:tc>
          <w:tcPr>
            <w:tcW w:w="1836" w:type="dxa"/>
          </w:tcPr>
          <w:p w:rsidR="00687CDD" w:rsidRPr="00F1695C" w:rsidRDefault="00687CDD" w:rsidP="00FD13EB">
            <w:pPr>
              <w:jc w:val="center"/>
              <w:rPr>
                <w:b/>
                <w:bCs/>
              </w:rPr>
            </w:pPr>
            <w:r w:rsidRPr="00F1695C">
              <w:rPr>
                <w:b/>
                <w:bCs/>
              </w:rPr>
              <w:t>1</w:t>
            </w:r>
          </w:p>
        </w:tc>
      </w:tr>
      <w:tr w:rsidR="00687CDD" w:rsidTr="00FD13EB">
        <w:tc>
          <w:tcPr>
            <w:tcW w:w="2410" w:type="dxa"/>
          </w:tcPr>
          <w:p w:rsidR="00687CDD" w:rsidRDefault="00687CDD" w:rsidP="00FD13EB">
            <w:pPr>
              <w:jc w:val="both"/>
              <w:rPr>
                <w:bCs/>
              </w:rPr>
            </w:pPr>
            <w:r>
              <w:rPr>
                <w:bCs/>
              </w:rPr>
              <w:t>M. Pocius</w:t>
            </w:r>
          </w:p>
        </w:tc>
        <w:tc>
          <w:tcPr>
            <w:tcW w:w="851" w:type="dxa"/>
          </w:tcPr>
          <w:p w:rsidR="00687CDD" w:rsidRDefault="00687CDD" w:rsidP="00FD13EB">
            <w:pPr>
              <w:jc w:val="both"/>
              <w:rPr>
                <w:bCs/>
              </w:rPr>
            </w:pPr>
            <w:r>
              <w:rPr>
                <w:b/>
                <w:bCs/>
              </w:rPr>
              <w:t>+</w:t>
            </w:r>
          </w:p>
        </w:tc>
        <w:tc>
          <w:tcPr>
            <w:tcW w:w="850" w:type="dxa"/>
          </w:tcPr>
          <w:p w:rsidR="00687CDD" w:rsidRDefault="00687CDD" w:rsidP="00FD13EB">
            <w:pPr>
              <w:jc w:val="both"/>
              <w:rPr>
                <w:bCs/>
              </w:rPr>
            </w:pPr>
            <w:r>
              <w:rPr>
                <w:b/>
                <w:bCs/>
              </w:rPr>
              <w:t>-</w:t>
            </w:r>
          </w:p>
        </w:tc>
        <w:tc>
          <w:tcPr>
            <w:tcW w:w="851" w:type="dxa"/>
          </w:tcPr>
          <w:p w:rsidR="00687CDD" w:rsidRDefault="00687CDD" w:rsidP="00FD13EB">
            <w:pPr>
              <w:jc w:val="both"/>
              <w:rPr>
                <w:bCs/>
              </w:rPr>
            </w:pPr>
            <w:r>
              <w:rPr>
                <w:b/>
                <w:bCs/>
              </w:rPr>
              <w:t>+</w:t>
            </w:r>
          </w:p>
        </w:tc>
        <w:tc>
          <w:tcPr>
            <w:tcW w:w="992" w:type="dxa"/>
          </w:tcPr>
          <w:p w:rsidR="00687CDD" w:rsidRDefault="00687CDD" w:rsidP="00FD13EB">
            <w:pPr>
              <w:jc w:val="both"/>
              <w:rPr>
                <w:bCs/>
              </w:rPr>
            </w:pPr>
            <w:r>
              <w:rPr>
                <w:b/>
                <w:bCs/>
              </w:rPr>
              <w:t>+</w:t>
            </w:r>
          </w:p>
        </w:tc>
        <w:tc>
          <w:tcPr>
            <w:tcW w:w="992" w:type="dxa"/>
          </w:tcPr>
          <w:p w:rsidR="00687CDD" w:rsidRDefault="00687CDD" w:rsidP="00FD13EB">
            <w:pPr>
              <w:jc w:val="both"/>
              <w:rPr>
                <w:bCs/>
              </w:rPr>
            </w:pPr>
            <w:r>
              <w:rPr>
                <w:b/>
                <w:bCs/>
              </w:rPr>
              <w:t>+</w:t>
            </w:r>
          </w:p>
        </w:tc>
        <w:tc>
          <w:tcPr>
            <w:tcW w:w="993" w:type="dxa"/>
          </w:tcPr>
          <w:p w:rsidR="00687CDD" w:rsidRDefault="00687CDD" w:rsidP="00FD13EB">
            <w:pPr>
              <w:jc w:val="both"/>
              <w:rPr>
                <w:bCs/>
              </w:rPr>
            </w:pPr>
            <w:r>
              <w:rPr>
                <w:b/>
                <w:bCs/>
              </w:rPr>
              <w:t>+</w:t>
            </w:r>
          </w:p>
        </w:tc>
        <w:tc>
          <w:tcPr>
            <w:tcW w:w="1836" w:type="dxa"/>
          </w:tcPr>
          <w:p w:rsidR="00687CDD" w:rsidRPr="00F1695C" w:rsidRDefault="00687CDD" w:rsidP="00FD13EB">
            <w:pPr>
              <w:jc w:val="center"/>
              <w:rPr>
                <w:b/>
                <w:bCs/>
              </w:rPr>
            </w:pPr>
            <w:r w:rsidRPr="00F1695C">
              <w:rPr>
                <w:b/>
                <w:bCs/>
              </w:rPr>
              <w:t>1</w:t>
            </w:r>
          </w:p>
        </w:tc>
      </w:tr>
      <w:tr w:rsidR="00687CDD" w:rsidTr="00FD13EB">
        <w:tc>
          <w:tcPr>
            <w:tcW w:w="2410" w:type="dxa"/>
          </w:tcPr>
          <w:p w:rsidR="00687CDD" w:rsidRDefault="00687CDD" w:rsidP="00FD13EB">
            <w:pPr>
              <w:jc w:val="both"/>
              <w:rPr>
                <w:bCs/>
              </w:rPr>
            </w:pPr>
            <w:bookmarkStart w:id="4" w:name="_Hlk503768897"/>
            <w:bookmarkEnd w:id="2"/>
            <w:r>
              <w:rPr>
                <w:bCs/>
              </w:rPr>
              <w:t>Č. Tarvydas</w:t>
            </w:r>
          </w:p>
        </w:tc>
        <w:tc>
          <w:tcPr>
            <w:tcW w:w="851" w:type="dxa"/>
          </w:tcPr>
          <w:p w:rsidR="00687CDD" w:rsidRDefault="00687CDD" w:rsidP="00FD13EB">
            <w:pPr>
              <w:jc w:val="both"/>
              <w:rPr>
                <w:bCs/>
              </w:rPr>
            </w:pPr>
            <w:r>
              <w:rPr>
                <w:b/>
                <w:bCs/>
              </w:rPr>
              <w:t>+</w:t>
            </w:r>
          </w:p>
        </w:tc>
        <w:tc>
          <w:tcPr>
            <w:tcW w:w="850" w:type="dxa"/>
          </w:tcPr>
          <w:p w:rsidR="00687CDD" w:rsidRDefault="00687CDD" w:rsidP="00FD13EB">
            <w:pPr>
              <w:jc w:val="both"/>
              <w:rPr>
                <w:bCs/>
              </w:rPr>
            </w:pPr>
            <w:r>
              <w:rPr>
                <w:b/>
                <w:bCs/>
              </w:rPr>
              <w:t>+</w:t>
            </w:r>
          </w:p>
        </w:tc>
        <w:tc>
          <w:tcPr>
            <w:tcW w:w="851" w:type="dxa"/>
          </w:tcPr>
          <w:p w:rsidR="00687CDD" w:rsidRDefault="00687CDD" w:rsidP="00FD13EB">
            <w:pPr>
              <w:jc w:val="both"/>
              <w:rPr>
                <w:bCs/>
              </w:rPr>
            </w:pPr>
            <w:r>
              <w:rPr>
                <w:b/>
                <w:bCs/>
              </w:rPr>
              <w:t>+</w:t>
            </w:r>
          </w:p>
        </w:tc>
        <w:tc>
          <w:tcPr>
            <w:tcW w:w="992" w:type="dxa"/>
          </w:tcPr>
          <w:p w:rsidR="00687CDD" w:rsidRDefault="00687CDD" w:rsidP="00FD13EB">
            <w:pPr>
              <w:jc w:val="both"/>
              <w:rPr>
                <w:bCs/>
              </w:rPr>
            </w:pPr>
            <w:r>
              <w:rPr>
                <w:b/>
                <w:bCs/>
              </w:rPr>
              <w:t>+</w:t>
            </w:r>
          </w:p>
        </w:tc>
        <w:tc>
          <w:tcPr>
            <w:tcW w:w="992" w:type="dxa"/>
          </w:tcPr>
          <w:p w:rsidR="00687CDD" w:rsidRDefault="00687CDD" w:rsidP="00FD13EB">
            <w:pPr>
              <w:jc w:val="both"/>
              <w:rPr>
                <w:bCs/>
              </w:rPr>
            </w:pPr>
            <w:r>
              <w:rPr>
                <w:b/>
                <w:bCs/>
              </w:rPr>
              <w:t>+</w:t>
            </w:r>
          </w:p>
        </w:tc>
        <w:tc>
          <w:tcPr>
            <w:tcW w:w="993" w:type="dxa"/>
          </w:tcPr>
          <w:p w:rsidR="00687CDD" w:rsidRDefault="00687CDD" w:rsidP="00FD13EB">
            <w:pPr>
              <w:jc w:val="both"/>
              <w:rPr>
                <w:bCs/>
              </w:rPr>
            </w:pPr>
            <w:r>
              <w:rPr>
                <w:b/>
                <w:bCs/>
              </w:rPr>
              <w:t>-</w:t>
            </w:r>
          </w:p>
        </w:tc>
        <w:tc>
          <w:tcPr>
            <w:tcW w:w="1836" w:type="dxa"/>
          </w:tcPr>
          <w:p w:rsidR="00687CDD" w:rsidRPr="00F1695C" w:rsidRDefault="00687CDD" w:rsidP="00FD13EB">
            <w:pPr>
              <w:jc w:val="center"/>
              <w:rPr>
                <w:b/>
                <w:bCs/>
              </w:rPr>
            </w:pPr>
            <w:r w:rsidRPr="00F1695C">
              <w:rPr>
                <w:b/>
                <w:bCs/>
              </w:rPr>
              <w:t>1</w:t>
            </w:r>
          </w:p>
        </w:tc>
      </w:tr>
      <w:tr w:rsidR="00687CDD" w:rsidTr="00FD13EB">
        <w:tc>
          <w:tcPr>
            <w:tcW w:w="2410" w:type="dxa"/>
          </w:tcPr>
          <w:p w:rsidR="00687CDD" w:rsidRDefault="00687CDD" w:rsidP="00FD13EB">
            <w:pPr>
              <w:jc w:val="both"/>
              <w:rPr>
                <w:bCs/>
              </w:rPr>
            </w:pPr>
            <w:r>
              <w:rPr>
                <w:bCs/>
              </w:rPr>
              <w:t>A. Liaudanskis</w:t>
            </w:r>
          </w:p>
        </w:tc>
        <w:tc>
          <w:tcPr>
            <w:tcW w:w="851" w:type="dxa"/>
          </w:tcPr>
          <w:p w:rsidR="00687CDD" w:rsidRDefault="00687CDD" w:rsidP="00FD13EB">
            <w:pPr>
              <w:jc w:val="both"/>
              <w:rPr>
                <w:bCs/>
              </w:rPr>
            </w:pPr>
            <w:r>
              <w:rPr>
                <w:b/>
                <w:bCs/>
              </w:rPr>
              <w:t>+</w:t>
            </w:r>
          </w:p>
        </w:tc>
        <w:tc>
          <w:tcPr>
            <w:tcW w:w="850" w:type="dxa"/>
          </w:tcPr>
          <w:p w:rsidR="00687CDD" w:rsidRDefault="00687CDD" w:rsidP="00FD13EB">
            <w:pPr>
              <w:jc w:val="both"/>
              <w:rPr>
                <w:bCs/>
              </w:rPr>
            </w:pPr>
            <w:r>
              <w:rPr>
                <w:b/>
                <w:bCs/>
              </w:rPr>
              <w:t>+</w:t>
            </w:r>
          </w:p>
        </w:tc>
        <w:tc>
          <w:tcPr>
            <w:tcW w:w="851" w:type="dxa"/>
          </w:tcPr>
          <w:p w:rsidR="00687CDD" w:rsidRDefault="00687CDD" w:rsidP="00FD13EB">
            <w:pPr>
              <w:jc w:val="both"/>
              <w:rPr>
                <w:bCs/>
              </w:rPr>
            </w:pPr>
            <w:r>
              <w:rPr>
                <w:b/>
                <w:bCs/>
              </w:rPr>
              <w:t>+</w:t>
            </w:r>
          </w:p>
        </w:tc>
        <w:tc>
          <w:tcPr>
            <w:tcW w:w="992" w:type="dxa"/>
          </w:tcPr>
          <w:p w:rsidR="00687CDD" w:rsidRDefault="00687CDD" w:rsidP="00FD13EB">
            <w:pPr>
              <w:jc w:val="both"/>
              <w:rPr>
                <w:bCs/>
              </w:rPr>
            </w:pPr>
            <w:r>
              <w:rPr>
                <w:b/>
                <w:bCs/>
              </w:rPr>
              <w:t>+</w:t>
            </w:r>
          </w:p>
        </w:tc>
        <w:tc>
          <w:tcPr>
            <w:tcW w:w="992" w:type="dxa"/>
          </w:tcPr>
          <w:p w:rsidR="00687CDD" w:rsidRDefault="00687CDD" w:rsidP="00FD13EB">
            <w:pPr>
              <w:jc w:val="both"/>
              <w:rPr>
                <w:bCs/>
              </w:rPr>
            </w:pPr>
            <w:r>
              <w:rPr>
                <w:b/>
                <w:bCs/>
              </w:rPr>
              <w:t>+</w:t>
            </w:r>
          </w:p>
        </w:tc>
        <w:tc>
          <w:tcPr>
            <w:tcW w:w="993" w:type="dxa"/>
          </w:tcPr>
          <w:p w:rsidR="00687CDD" w:rsidRDefault="00687CDD" w:rsidP="00FD13EB">
            <w:pPr>
              <w:jc w:val="both"/>
              <w:rPr>
                <w:bCs/>
              </w:rPr>
            </w:pPr>
            <w:r>
              <w:rPr>
                <w:b/>
                <w:bCs/>
              </w:rPr>
              <w:t>+</w:t>
            </w:r>
          </w:p>
        </w:tc>
        <w:tc>
          <w:tcPr>
            <w:tcW w:w="1836" w:type="dxa"/>
          </w:tcPr>
          <w:p w:rsidR="00687CDD" w:rsidRDefault="00687CDD" w:rsidP="00FD13EB">
            <w:pPr>
              <w:jc w:val="both"/>
              <w:rPr>
                <w:bCs/>
              </w:rPr>
            </w:pPr>
          </w:p>
        </w:tc>
      </w:tr>
      <w:bookmarkEnd w:id="3"/>
      <w:bookmarkEnd w:id="4"/>
    </w:tbl>
    <w:p w:rsidR="00687CDD" w:rsidRDefault="00687CDD" w:rsidP="00687CDD">
      <w:pPr>
        <w:jc w:val="both"/>
        <w:rPr>
          <w:bCs/>
        </w:rPr>
      </w:pPr>
    </w:p>
    <w:bookmarkEnd w:id="1"/>
    <w:p w:rsidR="00687CDD" w:rsidRDefault="00687CDD" w:rsidP="00687CDD">
      <w:pPr>
        <w:jc w:val="both"/>
        <w:rPr>
          <w:bCs/>
        </w:rPr>
      </w:pPr>
      <w:r>
        <w:rPr>
          <w:bCs/>
        </w:rPr>
        <w:t>+“ – dalyvauja, „-“ – nedalyvauja</w:t>
      </w:r>
    </w:p>
    <w:p w:rsidR="00687CDD" w:rsidRDefault="00687CDD" w:rsidP="00687CDD"/>
    <w:p w:rsidR="00687CDD" w:rsidRDefault="00687CDD" w:rsidP="00687CDD">
      <w:pPr>
        <w:jc w:val="center"/>
      </w:pPr>
      <w:r>
        <w:t>_______________________</w:t>
      </w:r>
    </w:p>
    <w:p w:rsidR="00687CDD" w:rsidRDefault="00687CDD" w:rsidP="00687CDD"/>
    <w:p w:rsidR="00687CDD" w:rsidRDefault="00687CDD" w:rsidP="00687CDD">
      <w:pPr>
        <w:spacing w:after="160" w:line="256" w:lineRule="auto"/>
        <w:rPr>
          <w:rFonts w:ascii="Calibri" w:hAnsi="Calibri"/>
          <w:sz w:val="22"/>
          <w:szCs w:val="22"/>
        </w:rPr>
      </w:pPr>
    </w:p>
    <w:p w:rsidR="007F1BB6" w:rsidRDefault="007F1BB6" w:rsidP="00A84712">
      <w:pPr>
        <w:rPr>
          <w:b/>
          <w:bCs/>
        </w:rPr>
      </w:pPr>
    </w:p>
    <w:p w:rsidR="007F1BB6" w:rsidRDefault="007F1BB6" w:rsidP="00A84712">
      <w:pPr>
        <w:rPr>
          <w:b/>
          <w:bCs/>
        </w:rPr>
      </w:pPr>
    </w:p>
    <w:sectPr w:rsidR="007F1BB6" w:rsidSect="00DF70AB">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7220" w:rsidRDefault="00637220" w:rsidP="00DF70AB">
      <w:r>
        <w:separator/>
      </w:r>
    </w:p>
  </w:endnote>
  <w:endnote w:type="continuationSeparator" w:id="0">
    <w:p w:rsidR="00637220" w:rsidRDefault="00637220" w:rsidP="00DF7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7220" w:rsidRDefault="00637220" w:rsidP="00DF70AB">
      <w:r>
        <w:separator/>
      </w:r>
    </w:p>
  </w:footnote>
  <w:footnote w:type="continuationSeparator" w:id="0">
    <w:p w:rsidR="00637220" w:rsidRDefault="00637220" w:rsidP="00DF70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2133173"/>
      <w:docPartObj>
        <w:docPartGallery w:val="Page Numbers (Top of Page)"/>
        <w:docPartUnique/>
      </w:docPartObj>
    </w:sdtPr>
    <w:sdtEndPr/>
    <w:sdtContent>
      <w:p w:rsidR="00DF70AB" w:rsidRDefault="00DF70AB">
        <w:pPr>
          <w:pStyle w:val="Antrats"/>
          <w:jc w:val="center"/>
        </w:pPr>
        <w:r>
          <w:fldChar w:fldCharType="begin"/>
        </w:r>
        <w:r>
          <w:instrText>PAGE   \* MERGEFORMAT</w:instrText>
        </w:r>
        <w:r>
          <w:fldChar w:fldCharType="separate"/>
        </w:r>
        <w:r w:rsidR="000F19B2">
          <w:rPr>
            <w:noProof/>
          </w:rPr>
          <w:t>2</w:t>
        </w:r>
        <w:r>
          <w:fldChar w:fldCharType="end"/>
        </w:r>
      </w:p>
    </w:sdtContent>
  </w:sdt>
  <w:p w:rsidR="00DF70AB" w:rsidRDefault="00DF70A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5C5A15"/>
    <w:multiLevelType w:val="hybridMultilevel"/>
    <w:tmpl w:val="A17A5C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0AB"/>
    <w:rsid w:val="000F19B2"/>
    <w:rsid w:val="0010117F"/>
    <w:rsid w:val="00256A40"/>
    <w:rsid w:val="004409F0"/>
    <w:rsid w:val="005352BF"/>
    <w:rsid w:val="00537434"/>
    <w:rsid w:val="005D458E"/>
    <w:rsid w:val="00637220"/>
    <w:rsid w:val="00687CDD"/>
    <w:rsid w:val="007D1650"/>
    <w:rsid w:val="007E2A9E"/>
    <w:rsid w:val="007F1BB6"/>
    <w:rsid w:val="0081386F"/>
    <w:rsid w:val="00A35DEA"/>
    <w:rsid w:val="00A36653"/>
    <w:rsid w:val="00A84712"/>
    <w:rsid w:val="00B12D68"/>
    <w:rsid w:val="00B4545F"/>
    <w:rsid w:val="00C6095C"/>
    <w:rsid w:val="00CF18BA"/>
    <w:rsid w:val="00D11B37"/>
    <w:rsid w:val="00DF5640"/>
    <w:rsid w:val="00DF70AB"/>
    <w:rsid w:val="00F92F8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19EC5"/>
  <w15:chartTrackingRefBased/>
  <w15:docId w15:val="{D404AAC8-F17E-4A72-ABB9-3CFC31F2F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DF70AB"/>
    <w:pPr>
      <w:spacing w:after="0" w:line="240" w:lineRule="auto"/>
    </w:pPr>
    <w:rPr>
      <w:rFonts w:ascii="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DF70AB"/>
    <w:pPr>
      <w:tabs>
        <w:tab w:val="center" w:pos="4819"/>
        <w:tab w:val="right" w:pos="9638"/>
      </w:tabs>
    </w:pPr>
  </w:style>
  <w:style w:type="character" w:customStyle="1" w:styleId="AntratsDiagrama">
    <w:name w:val="Antraštės Diagrama"/>
    <w:basedOn w:val="Numatytasispastraiposriftas"/>
    <w:link w:val="Antrats"/>
    <w:uiPriority w:val="99"/>
    <w:rsid w:val="00DF70AB"/>
    <w:rPr>
      <w:rFonts w:ascii="Times New Roman" w:hAnsi="Times New Roman" w:cs="Times New Roman"/>
      <w:sz w:val="24"/>
      <w:szCs w:val="24"/>
      <w:lang w:eastAsia="lt-LT"/>
    </w:rPr>
  </w:style>
  <w:style w:type="paragraph" w:styleId="Porat">
    <w:name w:val="footer"/>
    <w:basedOn w:val="prastasis"/>
    <w:link w:val="PoratDiagrama"/>
    <w:uiPriority w:val="99"/>
    <w:unhideWhenUsed/>
    <w:rsid w:val="00DF70AB"/>
    <w:pPr>
      <w:tabs>
        <w:tab w:val="center" w:pos="4819"/>
        <w:tab w:val="right" w:pos="9638"/>
      </w:tabs>
    </w:pPr>
  </w:style>
  <w:style w:type="character" w:customStyle="1" w:styleId="PoratDiagrama">
    <w:name w:val="Poraštė Diagrama"/>
    <w:basedOn w:val="Numatytasispastraiposriftas"/>
    <w:link w:val="Porat"/>
    <w:uiPriority w:val="99"/>
    <w:rsid w:val="00DF70AB"/>
    <w:rPr>
      <w:rFonts w:ascii="Times New Roman" w:hAnsi="Times New Roman" w:cs="Times New Roman"/>
      <w:sz w:val="24"/>
      <w:szCs w:val="24"/>
      <w:lang w:eastAsia="lt-LT"/>
    </w:rPr>
  </w:style>
  <w:style w:type="paragraph" w:styleId="Sraopastraipa">
    <w:name w:val="List Paragraph"/>
    <w:basedOn w:val="prastasis"/>
    <w:uiPriority w:val="34"/>
    <w:qFormat/>
    <w:rsid w:val="00D11B37"/>
    <w:pPr>
      <w:ind w:left="720"/>
      <w:contextualSpacing/>
    </w:pPr>
  </w:style>
  <w:style w:type="table" w:styleId="Lentelstinklelis">
    <w:name w:val="Table Grid"/>
    <w:basedOn w:val="prastojilentel"/>
    <w:uiPriority w:val="39"/>
    <w:rsid w:val="0068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029395">
      <w:bodyDiv w:val="1"/>
      <w:marLeft w:val="0"/>
      <w:marRight w:val="0"/>
      <w:marTop w:val="0"/>
      <w:marBottom w:val="0"/>
      <w:divBdr>
        <w:top w:val="none" w:sz="0" w:space="0" w:color="auto"/>
        <w:left w:val="none" w:sz="0" w:space="0" w:color="auto"/>
        <w:bottom w:val="none" w:sz="0" w:space="0" w:color="auto"/>
        <w:right w:val="none" w:sz="0" w:space="0" w:color="auto"/>
      </w:divBdr>
    </w:div>
    <w:div w:id="176810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4147</Words>
  <Characters>2365</Characters>
  <Application>Microsoft Office Word</Application>
  <DocSecurity>0</DocSecurity>
  <Lines>19</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Ugnė Tamošauskienė</dc:creator>
  <cp:keywords/>
  <dc:description/>
  <cp:lastModifiedBy>Ruta Zubiene</cp:lastModifiedBy>
  <cp:revision>10</cp:revision>
  <dcterms:created xsi:type="dcterms:W3CDTF">2018-01-12T12:55:00Z</dcterms:created>
  <dcterms:modified xsi:type="dcterms:W3CDTF">2018-01-25T13:13:00Z</dcterms:modified>
</cp:coreProperties>
</file>