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 xml:space="preserve">DĖL </w:t>
      </w:r>
      <w:r>
        <w:rPr>
          <w:rFonts w:ascii="Times New Roman" w:hAnsi="Times New Roman"/>
          <w:b/>
          <w:color w:val="000000"/>
          <w:sz w:val="24"/>
          <w:szCs w:val="24"/>
        </w:rPr>
        <w:t>ŽEMĖS SKLYP</w:t>
      </w:r>
      <w:r>
        <w:rPr>
          <w:rFonts w:ascii="Times New Roman" w:hAnsi="Times New Roman"/>
          <w:b/>
          <w:color w:val="000000"/>
          <w:sz w:val="24"/>
          <w:szCs w:val="24"/>
          <w:lang w:val="en-US" w:eastAsia="en-US"/>
        </w:rPr>
        <w:t>O</w:t>
      </w:r>
      <w:r>
        <w:rPr>
          <w:rFonts w:ascii="Times New Roman" w:hAnsi="Times New Roman"/>
          <w:b/>
          <w:color w:val="000000"/>
          <w:sz w:val="24"/>
          <w:szCs w:val="24"/>
        </w:rPr>
        <w:t xml:space="preserve"> </w:t>
      </w:r>
      <w:r>
        <w:rPr>
          <w:rFonts w:ascii="Times New Roman" w:hAnsi="Times New Roman"/>
          <w:b/>
          <w:bCs/>
          <w:sz w:val="24"/>
          <w:szCs w:val="24"/>
        </w:rPr>
        <w:t>(KAD. NR. 55</w:t>
      </w:r>
      <w:r>
        <w:rPr>
          <w:rFonts w:ascii="Times New Roman" w:hAnsi="Times New Roman"/>
          <w:b/>
          <w:bCs/>
          <w:sz w:val="24"/>
          <w:szCs w:val="24"/>
          <w:lang w:val="en-US" w:eastAsia="en-US"/>
        </w:rPr>
        <w:t>23</w:t>
      </w:r>
      <w:r>
        <w:rPr>
          <w:rFonts w:ascii="Times New Roman" w:hAnsi="Times New Roman"/>
          <w:b/>
          <w:bCs/>
          <w:sz w:val="24"/>
          <w:szCs w:val="24"/>
        </w:rPr>
        <w:t>/0004:</w:t>
      </w:r>
      <w:r>
        <w:rPr>
          <w:rFonts w:ascii="Times New Roman" w:hAnsi="Times New Roman"/>
          <w:b/>
          <w:bCs/>
          <w:sz w:val="24"/>
          <w:szCs w:val="24"/>
          <w:lang w:val="en-US" w:eastAsia="en-US"/>
        </w:rPr>
        <w:t>828</w:t>
      </w:r>
      <w:r>
        <w:rPr>
          <w:rFonts w:ascii="Times New Roman" w:hAnsi="Times New Roman"/>
          <w:b/>
          <w:bCs/>
          <w:sz w:val="24"/>
          <w:szCs w:val="24"/>
        </w:rPr>
        <w:t xml:space="preserve">) </w:t>
      </w:r>
      <w:r>
        <w:rPr>
          <w:rFonts w:ascii="Times New Roman" w:hAnsi="Times New Roman"/>
          <w:b/>
          <w:bCs/>
          <w:sz w:val="24"/>
          <w:szCs w:val="24"/>
          <w:lang w:val="en-US" w:eastAsia="en-US"/>
        </w:rPr>
        <w:t>KLEMI</w:t>
      </w:r>
      <w:r>
        <w:rPr>
          <w:rFonts w:ascii="Times New Roman" w:hAnsi="Times New Roman"/>
          <w:b/>
          <w:bCs/>
          <w:sz w:val="24"/>
          <w:szCs w:val="24"/>
          <w:lang w:val="lt-LT" w:eastAsia="en-US"/>
        </w:rPr>
        <w:t>ŠKĖS II</w:t>
      </w:r>
      <w:r>
        <w:rPr>
          <w:rFonts w:ascii="Times New Roman" w:hAnsi="Times New Roman"/>
          <w:b/>
          <w:bCs/>
          <w:sz w:val="24"/>
          <w:szCs w:val="24"/>
        </w:rPr>
        <w:t xml:space="preserve"> K., </w:t>
      </w:r>
      <w:r>
        <w:rPr>
          <w:rFonts w:ascii="Times New Roman" w:hAnsi="Times New Roman"/>
          <w:b/>
          <w:bCs/>
          <w:sz w:val="24"/>
          <w:szCs w:val="24"/>
          <w:lang w:eastAsia="en-US"/>
        </w:rPr>
        <w:t>SENDVARIO</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2020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316 punktu ir atsižvelgdamas į </w:t>
      </w:r>
      <w:r>
        <w:rPr>
          <w:rFonts w:ascii="Times New Roman" w:hAnsi="Times New Roman"/>
          <w:sz w:val="24"/>
          <w:szCs w:val="24"/>
          <w:lang w:eastAsia="en-US"/>
        </w:rPr>
        <w:t>planavimo iniciatoriaus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ascii="Times New Roman" w:hAnsi="Times New Roman"/>
          <w:color w:val="000000"/>
          <w:sz w:val="24"/>
          <w:szCs w:val="24"/>
          <w:lang w:eastAsia="en-US"/>
        </w:rPr>
        <w:t>o</w:t>
      </w:r>
      <w:r>
        <w:rPr>
          <w:rFonts w:ascii="Times New Roman" w:hAnsi="Times New Roman"/>
          <w:color w:val="000000"/>
          <w:sz w:val="24"/>
          <w:szCs w:val="24"/>
        </w:rPr>
        <w:t xml:space="preserve"> </w:t>
      </w:r>
      <w:r>
        <w:rPr>
          <w:rFonts w:ascii="Times New Roman" w:hAnsi="Times New Roman"/>
          <w:bCs/>
          <w:sz w:val="24"/>
          <w:szCs w:val="24"/>
        </w:rPr>
        <w:t xml:space="preserve">(kad. Nr. </w:t>
      </w:r>
      <w:r>
        <w:rPr>
          <w:rFonts w:ascii="Times New Roman" w:hAnsi="Times New Roman"/>
          <w:bCs/>
          <w:sz w:val="24"/>
          <w:szCs w:val="24"/>
          <w:lang w:eastAsia="en-US"/>
        </w:rPr>
        <w:t>5523</w:t>
      </w:r>
      <w:r>
        <w:rPr>
          <w:rFonts w:ascii="Times New Roman" w:hAnsi="Times New Roman"/>
          <w:bCs/>
          <w:sz w:val="24"/>
          <w:szCs w:val="24"/>
        </w:rPr>
        <w:t>/0004:</w:t>
      </w:r>
      <w:r>
        <w:rPr>
          <w:rFonts w:ascii="Times New Roman" w:hAnsi="Times New Roman"/>
          <w:bCs/>
          <w:sz w:val="24"/>
          <w:szCs w:val="24"/>
          <w:lang w:eastAsia="en-US"/>
        </w:rPr>
        <w:t>828</w:t>
      </w:r>
      <w:r>
        <w:rPr>
          <w:rFonts w:ascii="Times New Roman" w:hAnsi="Times New Roman"/>
          <w:bCs/>
          <w:sz w:val="24"/>
          <w:szCs w:val="24"/>
        </w:rPr>
        <w:t xml:space="preserve">) </w:t>
      </w:r>
      <w:r>
        <w:rPr>
          <w:rFonts w:ascii="Times New Roman" w:hAnsi="Times New Roman"/>
          <w:bCs/>
          <w:sz w:val="24"/>
          <w:szCs w:val="24"/>
          <w:lang w:eastAsia="en-US"/>
        </w:rPr>
        <w:t>Klemiškės II</w:t>
      </w:r>
      <w:r>
        <w:rPr>
          <w:rFonts w:ascii="Times New Roman" w:hAnsi="Times New Roman"/>
          <w:bCs/>
          <w:sz w:val="24"/>
          <w:szCs w:val="24"/>
        </w:rPr>
        <w:t xml:space="preserve"> k., </w:t>
      </w:r>
      <w:r>
        <w:rPr>
          <w:rFonts w:ascii="Times New Roman" w:hAnsi="Times New Roman"/>
          <w:bCs/>
          <w:sz w:val="24"/>
          <w:szCs w:val="24"/>
          <w:lang w:eastAsia="en-US"/>
        </w:rPr>
        <w:t>Sendvario</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 xml:space="preserve">detalųjį planą, numatantį koreguoti </w:t>
      </w:r>
      <w:r>
        <w:rPr>
          <w:rFonts w:ascii="Times New Roman" w:hAnsi="Times New Roman"/>
          <w:bCs/>
          <w:sz w:val="24"/>
          <w:szCs w:val="24"/>
          <w:lang w:val="en-US" w:eastAsia="en-US"/>
        </w:rPr>
        <w:t>2015-10-27</w:t>
      </w:r>
      <w:r>
        <w:rPr>
          <w:rFonts w:ascii="Times New Roman" w:hAnsi="Times New Roman"/>
          <w:bCs/>
          <w:sz w:val="24"/>
          <w:szCs w:val="24"/>
        </w:rPr>
        <w:t xml:space="preserve">  Klaipėdos rajono savivaldybės administracijos direktoriaus įsakymu Nr. AV-</w:t>
      </w:r>
      <w:r>
        <w:rPr>
          <w:rFonts w:ascii="Times New Roman" w:hAnsi="Times New Roman"/>
          <w:bCs/>
          <w:sz w:val="24"/>
          <w:szCs w:val="24"/>
          <w:lang w:val="en-US" w:eastAsia="en-US"/>
        </w:rPr>
        <w:t>2191</w:t>
      </w:r>
      <w:r>
        <w:rPr>
          <w:rFonts w:ascii="Times New Roman" w:hAnsi="Times New Roman"/>
          <w:bCs/>
          <w:sz w:val="24"/>
          <w:szCs w:val="24"/>
        </w:rPr>
        <w:t xml:space="preserve"> (reg. Nr. 00355300</w:t>
      </w:r>
      <w:r>
        <w:rPr>
          <w:rFonts w:ascii="Times New Roman" w:hAnsi="Times New Roman"/>
          <w:bCs/>
          <w:sz w:val="24"/>
          <w:szCs w:val="24"/>
          <w:lang w:val="en-US" w:eastAsia="en-US"/>
        </w:rPr>
        <w:t>5769</w:t>
      </w:r>
      <w:r>
        <w:rPr>
          <w:rFonts w:ascii="Times New Roman" w:hAnsi="Times New Roman"/>
          <w:bCs/>
          <w:sz w:val="24"/>
          <w:szCs w:val="24"/>
        </w:rPr>
        <w:t xml:space="preserve">) patvirtinto detaliojo plano sprendinius (planavimo tikslai – </w:t>
      </w:r>
      <w:r>
        <w:rPr>
          <w:rFonts w:ascii="Times New Roman" w:hAnsi="Times New Roman"/>
          <w:bCs/>
          <w:sz w:val="24"/>
          <w:szCs w:val="24"/>
        </w:rPr>
        <w:t>detaliuoju planu suformuotam žemės sklypui, detaliajame plane pažymėtam Nr. 24, daliai jo pakeisti naudojimo būdą iš inžinerinės infrastruktūros teritorijos į vienbučių ir dvibučių gyvenamųjų pastatų teritorijos, padalinti į sklypus,</w:t>
      </w:r>
      <w:r>
        <w:rPr>
          <w:rFonts w:ascii="Times New Roman" w:hAnsi="Times New Roman"/>
          <w:bCs/>
          <w:sz w:val="24"/>
          <w:szCs w:val="24"/>
        </w:rPr>
        <w:t xml:space="preserve"> nustatyti teritorijos tvarkymo ir naudojimo režim</w:t>
      </w:r>
      <w:r>
        <w:rPr>
          <w:rFonts w:ascii="Times New Roman" w:hAnsi="Times New Roman"/>
          <w:bCs/>
          <w:sz w:val="24"/>
          <w:szCs w:val="24"/>
        </w:rPr>
        <w:t>o</w:t>
      </w:r>
      <w:r>
        <w:rPr>
          <w:rFonts w:ascii="Times New Roman" w:hAnsi="Times New Roman"/>
          <w:bCs/>
          <w:sz w:val="24"/>
          <w:szCs w:val="24"/>
        </w:rPr>
        <w:t xml:space="preserve"> reikalavimus).</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2. Pavedu Architektūros ir urbanistikos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Direktorius                                                                                                            Artūras Bogdanovas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lt-LT"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9D76B-12B1-4105-8231-FECE9EDA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LibreOffice/6.4.1.2$Windows_X86_64 LibreOffice_project/4d224e95b98b138af42a64d84056446d09082932</Application>
  <Pages>1</Pages>
  <Words>244</Words>
  <Characters>1750</Characters>
  <CharactersWithSpaces>2115</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2020-03-31T09:41:35Z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