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680"/>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DĖL ŽEMĖS SKLYP</w:t>
      </w:r>
      <w:r>
        <w:rPr>
          <w:rFonts w:ascii="Times New Roman" w:hAnsi="Times New Roman"/>
          <w:b/>
          <w:bCs/>
          <w:sz w:val="24"/>
          <w:szCs w:val="24"/>
        </w:rPr>
        <w:t>Ų</w:t>
      </w:r>
      <w:r>
        <w:rPr>
          <w:rFonts w:ascii="Times New Roman" w:hAnsi="Times New Roman"/>
          <w:b/>
          <w:bCs/>
          <w:sz w:val="24"/>
          <w:szCs w:val="24"/>
        </w:rPr>
        <w:t xml:space="preserve"> (KAD. NR. </w:t>
      </w:r>
      <w:r>
        <w:rPr>
          <w:rFonts w:ascii="Times New Roman" w:hAnsi="Times New Roman"/>
          <w:b/>
          <w:bCs/>
          <w:i w:val="false"/>
          <w:caps w:val="false"/>
          <w:smallCaps w:val="false"/>
          <w:spacing w:val="0"/>
          <w:sz w:val="24"/>
          <w:szCs w:val="24"/>
        </w:rPr>
        <w:t>55</w:t>
      </w:r>
      <w:r>
        <w:rPr>
          <w:rFonts w:eastAsia="Calibri" w:cs="Times New Roman" w:ascii="Times New Roman" w:hAnsi="Times New Roman"/>
          <w:b/>
          <w:bCs/>
          <w:i w:val="false"/>
          <w:caps w:val="false"/>
          <w:smallCaps w:val="false"/>
          <w:color w:val="auto"/>
          <w:spacing w:val="0"/>
          <w:kern w:val="0"/>
          <w:sz w:val="24"/>
          <w:szCs w:val="24"/>
          <w:lang w:val="lt-LT" w:eastAsia="en-US" w:bidi="ar-SA"/>
        </w:rPr>
        <w:t>20</w:t>
      </w:r>
      <w:r>
        <w:rPr>
          <w:rFonts w:ascii="Times New Roman" w:hAnsi="Times New Roman"/>
          <w:b/>
          <w:bCs/>
          <w:i w:val="false"/>
          <w:caps w:val="false"/>
          <w:smallCaps w:val="false"/>
          <w:spacing w:val="0"/>
          <w:sz w:val="24"/>
          <w:szCs w:val="24"/>
        </w:rPr>
        <w:t>/00</w:t>
      </w:r>
      <w:r>
        <w:rPr>
          <w:rFonts w:eastAsia="Calibri" w:cs="Times New Roman" w:ascii="Times New Roman" w:hAnsi="Times New Roman"/>
          <w:b/>
          <w:bCs/>
          <w:i w:val="false"/>
          <w:caps w:val="false"/>
          <w:smallCaps w:val="false"/>
          <w:color w:val="auto"/>
          <w:spacing w:val="0"/>
          <w:kern w:val="0"/>
          <w:sz w:val="24"/>
          <w:szCs w:val="24"/>
          <w:lang w:val="lt-LT" w:eastAsia="en-US" w:bidi="ar-SA"/>
        </w:rPr>
        <w:t>01</w:t>
      </w:r>
      <w:r>
        <w:rPr>
          <w:rFonts w:ascii="Times New Roman" w:hAnsi="Times New Roman"/>
          <w:b/>
          <w:bCs/>
          <w:i w:val="false"/>
          <w:caps w:val="false"/>
          <w:smallCaps w:val="false"/>
          <w:spacing w:val="0"/>
          <w:sz w:val="24"/>
          <w:szCs w:val="24"/>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7</w:t>
      </w:r>
      <w:r>
        <w:rPr>
          <w:rFonts w:eastAsia="Calibri" w:cs="Times New Roman" w:ascii="Times New Roman" w:hAnsi="Times New Roman"/>
          <w:b/>
          <w:bCs/>
          <w:i w:val="false"/>
          <w:caps w:val="false"/>
          <w:smallCaps w:val="false"/>
          <w:color w:val="auto"/>
          <w:spacing w:val="0"/>
          <w:kern w:val="0"/>
          <w:sz w:val="24"/>
          <w:szCs w:val="24"/>
          <w:lang w:val="lt-LT" w:eastAsia="en-US" w:bidi="ar-SA"/>
        </w:rPr>
        <w:t>83; 5520/0001:784; 5520/0001:230; 5520/0001:408</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GARGŽDŲ</w:t>
      </w:r>
      <w:r>
        <w:rPr>
          <w:rFonts w:ascii="Times New Roman" w:hAnsi="Times New Roman"/>
          <w:b/>
          <w:bCs/>
          <w:sz w:val="24"/>
          <w:szCs w:val="24"/>
        </w:rPr>
        <w:t xml:space="preserve"> </w:t>
      </w:r>
      <w:r>
        <w:rPr>
          <w:rFonts w:ascii="Times New Roman" w:hAnsi="Times New Roman"/>
          <w:b/>
          <w:bCs/>
          <w:sz w:val="24"/>
          <w:szCs w:val="24"/>
        </w:rPr>
        <w:t>M</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GARGŽDŲ</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1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 xml:space="preserve">313 punktu ir atsižvelgdamas į </w:t>
      </w:r>
      <w:r>
        <w:rPr>
          <w:rStyle w:val="Pareigos"/>
          <w:rFonts w:ascii="Times New Roman" w:hAnsi="Times New Roman"/>
          <w:caps w:val="false"/>
          <w:smallCaps w:val="false"/>
          <w:sz w:val="24"/>
          <w:szCs w:val="24"/>
        </w:rPr>
        <w:t>planavimo iniciatori</w:t>
      </w:r>
      <w:r>
        <w:rPr>
          <w:rStyle w:val="Pareigos"/>
          <w:rFonts w:eastAsia="Calibri" w:cs="Times New Roman" w:ascii="Times New Roman" w:hAnsi="Times New Roman"/>
          <w:caps w:val="false"/>
          <w:smallCaps w:val="false"/>
          <w:color w:val="auto"/>
          <w:kern w:val="0"/>
          <w:sz w:val="24"/>
          <w:szCs w:val="24"/>
          <w:lang w:val="lt-LT" w:eastAsia="en-US" w:bidi="ar-SA"/>
        </w:rPr>
        <w:t>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P r a d e d u  rengti  žemės sklyp</w:t>
      </w:r>
      <w:r>
        <w:rPr>
          <w:rFonts w:ascii="Times New Roman" w:hAnsi="Times New Roman"/>
          <w:color w:val="000000"/>
          <w:sz w:val="24"/>
          <w:szCs w:val="24"/>
        </w:rPr>
        <w:t>ų</w:t>
      </w:r>
      <w:r>
        <w:rPr>
          <w:rFonts w:ascii="Times New Roman" w:hAnsi="Times New Roman"/>
          <w:color w:val="000000"/>
          <w:sz w:val="24"/>
          <w:szCs w:val="24"/>
        </w:rPr>
        <w:t xml:space="preserve"> (kad. Nr. </w:t>
      </w:r>
      <w:r>
        <w:rPr>
          <w:rFonts w:ascii="Times New Roman" w:hAnsi="Times New Roman"/>
          <w:b w:val="false"/>
          <w:bCs w:val="false"/>
          <w:i w:val="false"/>
          <w:caps w:val="false"/>
          <w:smallCaps w:val="false"/>
          <w:color w:val="000000"/>
          <w:spacing w:val="0"/>
          <w:sz w:val="24"/>
          <w:szCs w:val="24"/>
        </w:rPr>
        <w:t>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20</w:t>
      </w:r>
      <w:r>
        <w:rPr>
          <w:rFonts w:ascii="Times New Roman" w:hAnsi="Times New Roman"/>
          <w:b w:val="false"/>
          <w:bCs w:val="false"/>
          <w:i w:val="false"/>
          <w:caps w:val="false"/>
          <w:smallCaps w:val="false"/>
          <w:color w:val="000000"/>
          <w:spacing w:val="0"/>
          <w:sz w:val="24"/>
          <w:szCs w:val="24"/>
        </w:rPr>
        <w:t>/00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01</w:t>
      </w:r>
      <w:r>
        <w:rPr>
          <w:rFonts w:ascii="Times New Roman" w:hAnsi="Times New Roman"/>
          <w:b w:val="false"/>
          <w:bCs w:val="false"/>
          <w:i w:val="false"/>
          <w:caps w:val="false"/>
          <w:smallCaps w:val="false"/>
          <w:color w:val="000000"/>
          <w:spacing w:val="0"/>
          <w:sz w:val="24"/>
          <w:szCs w:val="24"/>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7</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83; 5520/0001:784; 5520/0001:230; 5520/0001:408</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Gargždų</w:t>
      </w:r>
      <w:r>
        <w:rPr>
          <w:rFonts w:ascii="Times New Roman" w:hAnsi="Times New Roman"/>
          <w:bCs/>
          <w:sz w:val="24"/>
          <w:szCs w:val="24"/>
        </w:rPr>
        <w:t xml:space="preserve"> </w:t>
      </w:r>
      <w:r>
        <w:rPr>
          <w:rFonts w:ascii="Times New Roman" w:hAnsi="Times New Roman"/>
          <w:bCs/>
          <w:sz w:val="24"/>
          <w:szCs w:val="24"/>
        </w:rPr>
        <w:t>m</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Gargždų</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val="false"/>
          <w:bCs w:val="false"/>
          <w:sz w:val="24"/>
          <w:szCs w:val="24"/>
        </w:rPr>
        <w:t xml:space="preserve"> (schema pridedama) </w:t>
      </w:r>
      <w:r>
        <w:rPr>
          <w:rFonts w:ascii="Times New Roman" w:hAnsi="Times New Roman"/>
          <w:bCs/>
          <w:sz w:val="24"/>
          <w:szCs w:val="24"/>
        </w:rPr>
        <w:t xml:space="preserve">detalųjį planą, numatantį pakeisti </w:t>
      </w:r>
      <w:r>
        <w:rPr>
          <w:rFonts w:eastAsia="Times New Roman" w:cs="Times New Roman" w:ascii="Times New Roman" w:hAnsi="Times New Roman"/>
          <w:bCs/>
          <w:color w:val="auto"/>
          <w:kern w:val="0"/>
          <w:sz w:val="24"/>
          <w:szCs w:val="24"/>
          <w:lang w:val="lt-LT" w:eastAsia="en-US" w:bidi="ar-SA"/>
        </w:rPr>
        <w:t>detaliojo plano</w:t>
      </w:r>
      <w:r>
        <w:rPr>
          <w:rFonts w:eastAsia="Arial Unicode MS" w:cs="Times New Roman" w:ascii="Times New Roman" w:hAnsi="Times New Roman"/>
          <w:bCs/>
          <w:color w:val="000000"/>
          <w:kern w:val="0"/>
          <w:sz w:val="24"/>
          <w:szCs w:val="24"/>
          <w:lang w:val="lt-LT" w:eastAsia="en-US" w:bidi="ar-SA"/>
        </w:rPr>
        <w:t xml:space="preserve">, reg. Nr. </w:t>
      </w:r>
      <w:r>
        <w:rPr>
          <w:rFonts w:eastAsia="Times New Roman" w:cs="Times New Roman" w:ascii="Times New Roman" w:hAnsi="Times New Roman"/>
          <w:bCs/>
          <w:color w:val="auto"/>
          <w:kern w:val="0"/>
          <w:sz w:val="24"/>
          <w:szCs w:val="24"/>
          <w:lang w:val="lt-LT" w:eastAsia="en-US" w:bidi="ar-SA"/>
        </w:rPr>
        <w:t>00355</w:t>
      </w:r>
      <w:r>
        <w:rPr>
          <w:rFonts w:eastAsia="Times New Roman" w:cs="Times New Roman" w:ascii="Times New Roman" w:hAnsi="Times New Roman"/>
          <w:bCs/>
          <w:color w:val="auto"/>
          <w:kern w:val="0"/>
          <w:sz w:val="24"/>
          <w:szCs w:val="24"/>
          <w:lang w:val="lt-LT" w:eastAsia="en-US" w:bidi="ar-SA"/>
        </w:rPr>
        <w:t>3</w:t>
      </w:r>
      <w:r>
        <w:rPr>
          <w:rFonts w:eastAsia="Times New Roman" w:cs="Times New Roman" w:ascii="Times New Roman" w:hAnsi="Times New Roman"/>
          <w:bCs/>
          <w:color w:val="auto"/>
          <w:kern w:val="0"/>
          <w:sz w:val="24"/>
          <w:szCs w:val="24"/>
          <w:lang w:val="lt-LT" w:eastAsia="en-US" w:bidi="ar-SA"/>
        </w:rPr>
        <w:t>004</w:t>
      </w:r>
      <w:r>
        <w:rPr>
          <w:rFonts w:eastAsia="Times New Roman" w:cs="Times New Roman" w:ascii="Times New Roman" w:hAnsi="Times New Roman"/>
          <w:bCs/>
          <w:color w:val="auto"/>
          <w:kern w:val="0"/>
          <w:sz w:val="24"/>
          <w:szCs w:val="24"/>
          <w:lang w:val="lt-LT" w:eastAsia="en-US" w:bidi="ar-SA"/>
        </w:rPr>
        <w:t>794</w:t>
      </w:r>
      <w:r>
        <w:rPr>
          <w:rFonts w:eastAsia="Arial Unicode MS" w:cs="Times New Roman" w:ascii="Times New Roman" w:hAnsi="Times New Roman"/>
          <w:bCs/>
          <w:color w:val="000000"/>
          <w:kern w:val="0"/>
          <w:sz w:val="24"/>
          <w:szCs w:val="24"/>
          <w:lang w:val="lt-LT" w:eastAsia="en-US" w:bidi="ar-SA"/>
        </w:rPr>
        <w:t>,</w:t>
      </w:r>
      <w:r>
        <w:rPr>
          <w:rFonts w:ascii="Times New Roman" w:hAnsi="Times New Roman"/>
          <w:bCs/>
          <w:sz w:val="24"/>
          <w:szCs w:val="24"/>
        </w:rPr>
        <w:t xml:space="preserve"> sprendinius (planavimo tikslai – </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pakeisti žemės sklypų kad. Nr. 5520/0001:230 ir kad. Nr. 5520/0001:408 pagrindinę žemės naudojimo paskirtį iš žemės ūkio į kitą, nustatyti naudojimo būdą – vienbučių ir dvibučių gyvenamųjų pastatų teritorijos, žemės sklypą kad. Nr. 5520/0001:783, adresu Asiūklių g. 11, Gargždai, performuoti jį apjungiant su žemės sklypais kad. Nr. 5520/0001:230 ir kad. Nr. 5520/0001:408 į vieną sklypą, ir padalinant apjungtus žemės sklypus į atskirus sklypus, nustatyti naujai suformuotiems žemės sklypams pagrindinę žemės naudojimo paskirtį – kitą, naudojimo būdą – vienbučių ir dvibučių gyvenamųjų pastatų teritorijos, nustatyti teritorijos tvarkymo ir naudojimo r</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e</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žimo reglamentus, esant poreikiui išskirti infrastruktūros teritorijas</w:t>
      </w:r>
      <w:r>
        <w:rPr>
          <w:rFonts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w:t>
      </w:r>
      <w:r>
        <w:rPr>
          <w:rFonts w:eastAsia="Calibri" w:cs="Times New Roman" w:ascii="Times New Roman" w:hAnsi="Times New Roman"/>
          <w:color w:val="000000"/>
          <w:kern w:val="0"/>
          <w:sz w:val="24"/>
          <w:szCs w:val="24"/>
          <w:lang w:val="lt-LT" w:eastAsia="en-US" w:bidi="ar-SA"/>
        </w:rPr>
        <w:t>teritorijų planavimo</w:t>
      </w:r>
      <w:r>
        <w:rPr>
          <w:rFonts w:ascii="Times New Roman" w:hAnsi="Times New Roman"/>
          <w:color w:val="000000"/>
          <w:sz w:val="24"/>
          <w:szCs w:val="24"/>
        </w:rPr>
        <w:t xml:space="preserve">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rPr>
      </w:pPr>
      <w:r>
        <w:rPr>
          <w:rFonts w:eastAsia="Times New Roman" w:cs="Times New Roman" w:ascii="Times New Roman" w:hAnsi="Times New Roman"/>
          <w:bCs/>
          <w:sz w:val="24"/>
          <w:szCs w:val="24"/>
        </w:rPr>
        <w:t>Direktori</w:t>
      </w:r>
      <w:r>
        <w:rPr>
          <w:rFonts w:eastAsia="Times New Roman" w:cs="Times New Roman" w:ascii="Times New Roman" w:hAnsi="Times New Roman"/>
          <w:sz w:val="24"/>
          <w:szCs w:val="24"/>
          <w:lang w:eastAsia="ar-SA"/>
        </w:rPr>
        <w:t xml:space="preserve">us                                                              </w:t>
      </w: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lang w:eastAsia="ar-SA"/>
        </w:rPr>
        <w:t>Justas Ruškys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Pareigos" w:customStyle="1">
    <w:name w:val="Pareigos"/>
    <w:qFormat/>
    <w:rsid w:val="00ee6c17"/>
    <w:rPr>
      <w:rFonts w:ascii="TimesLT" w:hAnsi="TimesLT"/>
      <w:caps/>
      <w:sz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a8469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81F9-221C-4EF8-AEEB-3424C6E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Application>LibreOffice/6.4.1.2$Windows_X86_64 LibreOffice_project/4d224e95b98b138af42a64d84056446d09082932</Application>
  <Pages>1</Pages>
  <Words>297</Words>
  <Characters>2116</Characters>
  <CharactersWithSpaces>2549</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2020-01-21T08:34:00Z</dcterms:created>
  <dc:creator>Jolanta Simkute</dc:creator>
  <dc:description/>
  <dc:language>lt-LT</dc:language>
  <cp:lastModifiedBy/>
  <cp:lastPrinted>2015-03-12T07:28:00Z</cp:lastPrinted>
  <dcterms:modified xsi:type="dcterms:W3CDTF">2021-11-17T09:19:00Z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