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lineRule="auto" w:line="240" w:before="0" w:after="0"/>
        <w:jc w:val="center"/>
        <w:rPr>
          <w:rFonts w:ascii="Times New Roman" w:hAnsi="Times New Roman"/>
          <w:b/>
          <w:b/>
          <w:color w:val="000000"/>
          <w:sz w:val="24"/>
          <w:szCs w:val="24"/>
        </w:rPr>
      </w:pPr>
      <w:r>
        <w:rPr>
          <w:rFonts w:cs="Times New Roman" w:ascii="Times New Roman" w:hAnsi="Times New Roman"/>
          <w:b/>
          <w:bCs/>
          <w:color w:val="000000"/>
          <w:sz w:val="24"/>
          <w:szCs w:val="24"/>
        </w:rPr>
        <w:t>DĖL ŽEMĖS SKLYP</w:t>
      </w:r>
      <w:r>
        <w:rPr>
          <w:rFonts w:eastAsia="Calibri" w:cs="Times New Roman" w:ascii="Times New Roman" w:hAnsi="Times New Roman"/>
          <w:b/>
          <w:bCs/>
          <w:color w:val="000000"/>
          <w:kern w:val="0"/>
          <w:sz w:val="24"/>
          <w:szCs w:val="24"/>
          <w:lang w:val="lt-LT" w:eastAsia="en-US" w:bidi="ar-SA"/>
        </w:rPr>
        <w:t>Ų</w:t>
      </w:r>
      <w:r>
        <w:rPr>
          <w:rFonts w:cs="Times New Roman" w:ascii="Times New Roman" w:hAnsi="Times New Roman"/>
          <w:b/>
          <w:bCs/>
          <w:color w:val="000000"/>
          <w:sz w:val="24"/>
          <w:szCs w:val="24"/>
        </w:rPr>
        <w:t xml:space="preserve"> (KAD. NR. 55</w:t>
      </w:r>
      <w:r>
        <w:rPr>
          <w:rFonts w:eastAsia="Calibri" w:cs="Times New Roman" w:ascii="Times New Roman" w:hAnsi="Times New Roman"/>
          <w:b/>
          <w:bCs/>
          <w:color w:val="000000"/>
          <w:kern w:val="0"/>
          <w:sz w:val="24"/>
          <w:szCs w:val="24"/>
          <w:lang w:val="lt-LT" w:eastAsia="en-US" w:bidi="ar-SA"/>
        </w:rPr>
        <w:t>23</w:t>
      </w:r>
      <w:r>
        <w:rPr>
          <w:rFonts w:cs="Times New Roman" w:ascii="Times New Roman" w:hAnsi="Times New Roman"/>
          <w:b/>
          <w:bCs/>
          <w:color w:val="000000"/>
          <w:sz w:val="24"/>
          <w:szCs w:val="24"/>
        </w:rPr>
        <w:t>/00</w:t>
      </w:r>
      <w:r>
        <w:rPr>
          <w:rFonts w:eastAsia="Calibri" w:cs="Times New Roman" w:ascii="Times New Roman" w:hAnsi="Times New Roman"/>
          <w:b/>
          <w:bCs/>
          <w:color w:val="000000"/>
          <w:kern w:val="0"/>
          <w:sz w:val="24"/>
          <w:szCs w:val="24"/>
          <w:lang w:val="lt-LT" w:eastAsia="en-US" w:bidi="ar-SA"/>
        </w:rPr>
        <w:t>0</w:t>
      </w:r>
      <w:r>
        <w:rPr>
          <w:rFonts w:eastAsia="Calibri" w:cs="Times New Roman" w:ascii="Times New Roman" w:hAnsi="Times New Roman"/>
          <w:b/>
          <w:bCs/>
          <w:color w:val="000000"/>
          <w:kern w:val="0"/>
          <w:sz w:val="24"/>
          <w:szCs w:val="24"/>
          <w:lang w:val="lt-LT" w:eastAsia="en-US" w:bidi="ar-SA"/>
        </w:rPr>
        <w:t>2</w:t>
      </w:r>
      <w:r>
        <w:rPr>
          <w:rFonts w:cs="Times New Roman" w:ascii="Times New Roman" w:hAnsi="Times New Roman"/>
          <w:b/>
          <w:bCs/>
          <w:color w:val="000000"/>
          <w:sz w:val="24"/>
          <w:szCs w:val="24"/>
        </w:rPr>
        <w:t>:</w:t>
      </w:r>
      <w:r>
        <w:rPr>
          <w:rFonts w:eastAsia="Calibri" w:cs="Times New Roman" w:ascii="Times New Roman" w:hAnsi="Times New Roman"/>
          <w:b/>
          <w:bCs/>
          <w:color w:val="000000"/>
          <w:kern w:val="0"/>
          <w:sz w:val="24"/>
          <w:szCs w:val="24"/>
          <w:lang w:val="lt-LT" w:eastAsia="en-US" w:bidi="ar-SA"/>
        </w:rPr>
        <w:t>1</w:t>
      </w:r>
      <w:r>
        <w:rPr>
          <w:rFonts w:eastAsia="Calibri" w:cs="Times New Roman" w:ascii="Times New Roman" w:hAnsi="Times New Roman"/>
          <w:b/>
          <w:bCs/>
          <w:color w:val="000000"/>
          <w:kern w:val="0"/>
          <w:sz w:val="24"/>
          <w:szCs w:val="24"/>
          <w:lang w:val="lt-LT" w:eastAsia="en-US" w:bidi="ar-SA"/>
        </w:rPr>
        <w:t>005</w:t>
      </w:r>
      <w:r>
        <w:rPr>
          <w:rFonts w:eastAsia="Calibri" w:cs="Times New Roman" w:ascii="Times New Roman" w:hAnsi="Times New Roman"/>
          <w:b/>
          <w:bCs/>
          <w:color w:val="000000"/>
          <w:kern w:val="0"/>
          <w:sz w:val="24"/>
          <w:szCs w:val="24"/>
          <w:lang w:val="lt-LT" w:eastAsia="en-US" w:bidi="ar-SA"/>
        </w:rPr>
        <w:t>; 5523/000</w:t>
      </w:r>
      <w:r>
        <w:rPr>
          <w:rFonts w:eastAsia="Calibri" w:cs="Times New Roman" w:ascii="Times New Roman" w:hAnsi="Times New Roman"/>
          <w:b/>
          <w:bCs/>
          <w:color w:val="000000"/>
          <w:kern w:val="0"/>
          <w:sz w:val="24"/>
          <w:szCs w:val="24"/>
          <w:lang w:val="lt-LT" w:eastAsia="en-US" w:bidi="ar-SA"/>
        </w:rPr>
        <w:t>2</w:t>
      </w:r>
      <w:r>
        <w:rPr>
          <w:rFonts w:eastAsia="Calibri" w:cs="Times New Roman" w:ascii="Times New Roman" w:hAnsi="Times New Roman"/>
          <w:b/>
          <w:bCs/>
          <w:color w:val="000000"/>
          <w:kern w:val="0"/>
          <w:sz w:val="24"/>
          <w:szCs w:val="24"/>
          <w:lang w:val="lt-LT" w:eastAsia="en-US" w:bidi="ar-SA"/>
        </w:rPr>
        <w:t>:</w:t>
      </w:r>
      <w:r>
        <w:rPr>
          <w:rFonts w:eastAsia="Calibri" w:cs="Times New Roman" w:ascii="Times New Roman" w:hAnsi="Times New Roman"/>
          <w:b/>
          <w:bCs/>
          <w:color w:val="000000"/>
          <w:kern w:val="0"/>
          <w:sz w:val="24"/>
          <w:szCs w:val="24"/>
          <w:lang w:val="lt-LT" w:eastAsia="en-US" w:bidi="ar-SA"/>
        </w:rPr>
        <w:t>1007</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GINDULIŲ</w:t>
      </w:r>
      <w:r>
        <w:rPr>
          <w:rFonts w:eastAsia="Calibri" w:cs="Times New Roman" w:ascii="Times New Roman" w:hAnsi="Times New Roman"/>
          <w:b/>
          <w:bCs/>
          <w:color w:val="000000"/>
          <w:kern w:val="0"/>
          <w:sz w:val="24"/>
          <w:szCs w:val="24"/>
          <w:lang w:val="lt-LT" w:eastAsia="en-US" w:bidi="ar-SA"/>
        </w:rPr>
        <w:t xml:space="preserve"> K</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SENDVARIO</w:t>
      </w:r>
      <w:r>
        <w:rPr>
          <w:rFonts w:cs="Times New Roman" w:ascii="Times New Roman" w:hAnsi="Times New Roman"/>
          <w:b/>
          <w:bCs/>
          <w:color w:val="000000"/>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cs="Times New Roman"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ų</w:t>
      </w:r>
      <w:r>
        <w:rPr>
          <w:rFonts w:cs="Times New Roman" w:ascii="Times New Roman" w:hAnsi="Times New Roman"/>
          <w:color w:val="000000"/>
          <w:sz w:val="24"/>
          <w:szCs w:val="24"/>
        </w:rPr>
        <w:t xml:space="preserve"> </w:t>
      </w:r>
      <w:r>
        <w:rPr>
          <w:rFonts w:cs="Times New Roman" w:ascii="Times New Roman" w:hAnsi="Times New Roman"/>
          <w:bCs/>
          <w:sz w:val="24"/>
          <w:szCs w:val="24"/>
        </w:rPr>
        <w:t xml:space="preserve">(kad. Nr. </w:t>
      </w:r>
      <w:r>
        <w:rPr>
          <w:rFonts w:eastAsia="Calibri" w:cs="Times New Roman" w:ascii="Times New Roman" w:hAnsi="Times New Roman"/>
          <w:b w:val="false"/>
          <w:bCs w:val="false"/>
          <w:color w:val="000000"/>
          <w:kern w:val="0"/>
          <w:sz w:val="24"/>
          <w:szCs w:val="24"/>
          <w:lang w:val="lt-LT" w:eastAsia="en-US" w:bidi="ar-SA"/>
        </w:rPr>
        <w:t>5523/000</w:t>
      </w:r>
      <w:r>
        <w:rPr>
          <w:rFonts w:eastAsia="Calibri" w:cs="Times New Roman" w:ascii="Times New Roman" w:hAnsi="Times New Roman"/>
          <w:b w:val="false"/>
          <w:bCs w:val="false"/>
          <w:color w:val="000000"/>
          <w:kern w:val="0"/>
          <w:sz w:val="24"/>
          <w:szCs w:val="24"/>
          <w:lang w:val="lt-LT" w:eastAsia="en-US" w:bidi="ar-SA"/>
        </w:rPr>
        <w:t>2</w:t>
      </w:r>
      <w:r>
        <w:rPr>
          <w:rFonts w:eastAsia="Calibri" w:cs="Times New Roman" w:ascii="Times New Roman" w:hAnsi="Times New Roman"/>
          <w:b w:val="false"/>
          <w:bCs w:val="false"/>
          <w:color w:val="000000"/>
          <w:kern w:val="0"/>
          <w:sz w:val="24"/>
          <w:szCs w:val="24"/>
          <w:lang w:val="lt-LT" w:eastAsia="en-US" w:bidi="ar-SA"/>
        </w:rPr>
        <w:t>:10</w:t>
      </w:r>
      <w:r>
        <w:rPr>
          <w:rFonts w:eastAsia="Calibri" w:cs="Times New Roman" w:ascii="Times New Roman" w:hAnsi="Times New Roman"/>
          <w:b w:val="false"/>
          <w:bCs w:val="false"/>
          <w:color w:val="000000"/>
          <w:kern w:val="0"/>
          <w:sz w:val="24"/>
          <w:szCs w:val="24"/>
          <w:lang w:val="lt-LT" w:eastAsia="en-US" w:bidi="ar-SA"/>
        </w:rPr>
        <w:t>05</w:t>
      </w:r>
      <w:r>
        <w:rPr>
          <w:rFonts w:eastAsia="Calibri" w:cs="Times New Roman" w:ascii="Times New Roman" w:hAnsi="Times New Roman"/>
          <w:b w:val="false"/>
          <w:bCs w:val="false"/>
          <w:color w:val="000000"/>
          <w:kern w:val="0"/>
          <w:sz w:val="24"/>
          <w:szCs w:val="24"/>
          <w:lang w:val="lt-LT" w:eastAsia="en-US" w:bidi="ar-SA"/>
        </w:rPr>
        <w:t>; 5523/000</w:t>
      </w:r>
      <w:r>
        <w:rPr>
          <w:rFonts w:eastAsia="Calibri" w:cs="Times New Roman" w:ascii="Times New Roman" w:hAnsi="Times New Roman"/>
          <w:b w:val="false"/>
          <w:bCs w:val="false"/>
          <w:color w:val="000000"/>
          <w:kern w:val="0"/>
          <w:sz w:val="24"/>
          <w:szCs w:val="24"/>
          <w:lang w:val="lt-LT" w:eastAsia="en-US" w:bidi="ar-SA"/>
        </w:rPr>
        <w:t>2</w:t>
      </w:r>
      <w:r>
        <w:rPr>
          <w:rFonts w:eastAsia="Calibri" w:cs="Times New Roman" w:ascii="Times New Roman" w:hAnsi="Times New Roman"/>
          <w:b w:val="false"/>
          <w:bCs w:val="false"/>
          <w:color w:val="000000"/>
          <w:kern w:val="0"/>
          <w:sz w:val="24"/>
          <w:szCs w:val="24"/>
          <w:lang w:val="lt-LT" w:eastAsia="en-US" w:bidi="ar-SA"/>
        </w:rPr>
        <w:t>:</w:t>
      </w:r>
      <w:r>
        <w:rPr>
          <w:rFonts w:eastAsia="Calibri" w:cs="Times New Roman" w:ascii="Times New Roman" w:hAnsi="Times New Roman"/>
          <w:b w:val="false"/>
          <w:bCs w:val="false"/>
          <w:color w:val="000000"/>
          <w:kern w:val="0"/>
          <w:sz w:val="24"/>
          <w:szCs w:val="24"/>
          <w:lang w:val="lt-LT" w:eastAsia="en-US" w:bidi="ar-SA"/>
        </w:rPr>
        <w:t>1007</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Gindulių</w:t>
      </w:r>
      <w:r>
        <w:rPr>
          <w:rFonts w:eastAsia="Calibri" w:cs="Times New Roman" w:ascii="Times New Roman" w:hAnsi="Times New Roman"/>
          <w:bCs/>
          <w:color w:val="auto"/>
          <w:kern w:val="0"/>
          <w:sz w:val="24"/>
          <w:szCs w:val="24"/>
          <w:lang w:val="lt-LT" w:eastAsia="en-US" w:bidi="ar-SA"/>
        </w:rPr>
        <w:t xml:space="preserve"> k</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Sendvario</w:t>
      </w:r>
      <w:r>
        <w:rPr>
          <w:rFonts w:cs="Times New Roman" w:ascii="Times New Roman" w:hAnsi="Times New Roman"/>
          <w:bCs/>
          <w:sz w:val="24"/>
          <w:szCs w:val="24"/>
        </w:rPr>
        <w:t xml:space="preserve"> sen.,</w:t>
      </w:r>
      <w:r>
        <w:rPr>
          <w:rFonts w:cs="Times New Roman" w:ascii="Times New Roman" w:hAnsi="Times New Roman"/>
          <w:b/>
          <w:bCs/>
          <w:sz w:val="24"/>
          <w:szCs w:val="24"/>
        </w:rPr>
        <w:t xml:space="preserve"> </w:t>
      </w:r>
      <w:r>
        <w:rPr>
          <w:rFonts w:cs="Times New Roman" w:ascii="Times New Roman" w:hAnsi="Times New Roman"/>
          <w:bCs/>
          <w:sz w:val="24"/>
          <w:szCs w:val="24"/>
        </w:rPr>
        <w:t>Klaipėdos r. sav.</w:t>
      </w:r>
      <w:r>
        <w:rPr>
          <w:rFonts w:cs="Times New Roman" w:ascii="Times New Roman" w:hAnsi="Times New Roman"/>
          <w:b/>
          <w:sz w:val="24"/>
          <w:szCs w:val="24"/>
        </w:rPr>
        <w:t xml:space="preserve"> </w:t>
      </w:r>
      <w:r>
        <w:rPr>
          <w:rFonts w:cs="Times New Roman" w:ascii="Times New Roman" w:hAnsi="Times New Roman"/>
          <w:b w:val="false"/>
          <w:bCs w:val="false"/>
          <w:sz w:val="24"/>
          <w:szCs w:val="24"/>
        </w:rPr>
        <w:t>(schema pridedama)</w:t>
      </w:r>
      <w:r>
        <w:rPr>
          <w:rFonts w:cs="Times New Roman" w:ascii="Times New Roman" w:hAnsi="Times New Roman"/>
          <w:b/>
          <w:sz w:val="24"/>
          <w:szCs w:val="24"/>
        </w:rPr>
        <w:t xml:space="preserve"> </w:t>
      </w:r>
      <w:r>
        <w:rPr>
          <w:rFonts w:cs="Times New Roman" w:ascii="Times New Roman" w:hAnsi="Times New Roman"/>
          <w:bCs/>
          <w:sz w:val="24"/>
          <w:szCs w:val="24"/>
        </w:rPr>
        <w:t xml:space="preserve">detalųjį planą, numatantį koreguoti detaliojo plano, </w:t>
      </w:r>
      <w:r>
        <w:rPr>
          <w:rFonts w:cs="Times New Roman" w:ascii="Times New Roman" w:hAnsi="Times New Roman"/>
          <w:bCs/>
          <w:sz w:val="24"/>
          <w:szCs w:val="24"/>
        </w:rPr>
        <w:t xml:space="preserve">reg. Nr. </w:t>
      </w:r>
      <w:r>
        <w:rPr>
          <w:rFonts w:eastAsia="Times New Roman" w:cs="Times New Roman" w:ascii="Times New Roman" w:hAnsi="Times New Roman"/>
          <w:bCs/>
          <w:color w:val="auto"/>
          <w:kern w:val="0"/>
          <w:sz w:val="24"/>
          <w:szCs w:val="24"/>
          <w:lang w:val="lt-LT" w:eastAsia="en-US" w:bidi="ar-SA"/>
        </w:rPr>
        <w:t>T00070568,</w:t>
      </w:r>
      <w:r>
        <w:rPr>
          <w:rFonts w:cs="Times New Roman" w:ascii="Times New Roman" w:hAnsi="Times New Roman"/>
          <w:bCs/>
          <w:sz w:val="24"/>
          <w:szCs w:val="24"/>
        </w:rPr>
        <w:t xml:space="preserve"> sprendinius (planavimo tikslai – </w:t>
      </w:r>
      <w:r>
        <w:rPr>
          <w:rFonts w:cs="Times New Roman" w:ascii="Times New Roman" w:hAnsi="Times New Roman"/>
          <w:bCs/>
          <w:sz w:val="24"/>
          <w:szCs w:val="24"/>
        </w:rPr>
        <w:t>p</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akeisti žemės sklyp</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ų</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 xml:space="preserve"> (kad. Nr. 5523/0002:1005, 5523/0002:1007) Klaipėdos r. sav., Sendvario sen., Gindulių k., naudojimo būdą į </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d</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 xml:space="preserve">augiabučių gyvenamųjų pastatų ir bendrabučių teritorijos, </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sujungti sklypus</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 Tikslinti žemės sklypo naudojimo reglamentus (užstatymo tankumą, užstatymo intensyvumą, užstatymo tipą, specialiąsias žemės naudojimo sąlygas ir kitą). Esant būtinybei suplanuoti kitos paskirties žemės sklypą, kuriam būtų nustatytas inžinerinės infrastruktūros teritorijų naudojimo būdas</w:t>
      </w:r>
      <w:r>
        <w:rPr>
          <w:rFonts w:cs="Times New Roman"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teritorijų planavimo skyriui Teritorijų planavimo proceso inicijavimo sutarties projekte nustatyti, kad teritorijų planavimo dokumento rengėją savo nuožiūra pasirenka ir teritorijų planavimo dokumento rengimą finansuoja </w:t>
      </w:r>
      <w:r>
        <w:rPr>
          <w:rFonts w:eastAsia="Calibri" w:cs="Times New Roman" w:ascii="Times New Roman" w:hAnsi="Times New Roman"/>
          <w:color w:val="000000"/>
          <w:kern w:val="0"/>
          <w:sz w:val="24"/>
          <w:szCs w:val="24"/>
          <w:lang w:val="lt-LT" w:eastAsia="en-US" w:bidi="ar-SA"/>
        </w:rPr>
        <w:t>planavimo iniciatorius</w:t>
      </w:r>
      <w:r>
        <w:rPr>
          <w:rFonts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Direktori</w:t>
      </w:r>
      <w:r>
        <w:rPr>
          <w:rFonts w:eastAsia="Times New Roman" w:cs="Times New Roman" w:ascii="Times New Roman" w:hAnsi="Times New Roman"/>
          <w:color w:val="auto"/>
          <w:kern w:val="0"/>
          <w:sz w:val="24"/>
          <w:szCs w:val="24"/>
          <w:lang w:val="lt-LT" w:eastAsia="en-US" w:bidi="ar-SA"/>
        </w:rPr>
        <w:t xml:space="preserve">us                                                            </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lt-LT" w:eastAsia="en-US" w:bidi="ar-SA"/>
        </w:rPr>
        <w:t>Justas Ruškys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FontStyle13">
    <w:name w:val="Font Style13"/>
    <w:basedOn w:val="DefaultParagraphFont"/>
    <w:qFormat/>
    <w:rPr>
      <w:rFonts w:ascii="Times New Roman" w:hAnsi="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Application>LibreOffice/6.4.1.2$Windows_X86_64 LibreOffice_project/4d224e95b98b138af42a64d84056446d09082932</Application>
  <Pages>1</Pages>
  <Words>258</Words>
  <Characters>1875</Characters>
  <CharactersWithSpaces>2264</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2021-09-23T13:51:09Z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