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6DD1" w14:textId="77777777" w:rsidR="00700128" w:rsidRPr="00954485" w:rsidRDefault="004F5BD8" w:rsidP="00700128">
      <w:pPr>
        <w:tabs>
          <w:tab w:val="left" w:pos="5557"/>
          <w:tab w:val="left" w:pos="6840"/>
          <w:tab w:val="left" w:pos="7020"/>
        </w:tabs>
        <w:spacing w:after="0" w:line="240" w:lineRule="auto"/>
        <w:ind w:left="5184" w:right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700128"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73EFBE3E" w14:textId="77777777" w:rsidR="00700128" w:rsidRPr="00954485" w:rsidRDefault="004F5BD8" w:rsidP="00700128">
      <w:pPr>
        <w:tabs>
          <w:tab w:val="left" w:pos="5557"/>
          <w:tab w:val="left" w:pos="6840"/>
          <w:tab w:val="left" w:pos="7020"/>
        </w:tabs>
        <w:spacing w:after="0" w:line="240" w:lineRule="auto"/>
        <w:ind w:left="5184" w:right="567"/>
        <w:rPr>
          <w:rFonts w:ascii="Times New Roman" w:eastAsia="Times New Roman" w:hAnsi="Times New Roman" w:cs="Times New Roman"/>
          <w:lang w:eastAsia="lt-LT"/>
        </w:rPr>
      </w:pPr>
      <w:r w:rsidRPr="00954485">
        <w:rPr>
          <w:rFonts w:ascii="Times New Roman" w:eastAsia="Times New Roman" w:hAnsi="Times New Roman" w:cs="Times New Roman"/>
          <w:lang w:eastAsia="lt-LT"/>
        </w:rPr>
        <w:tab/>
      </w:r>
      <w:r w:rsidRPr="00954485">
        <w:rPr>
          <w:rFonts w:ascii="Times New Roman" w:eastAsia="Times New Roman" w:hAnsi="Times New Roman" w:cs="Times New Roman"/>
          <w:lang w:eastAsia="lt-LT"/>
        </w:rPr>
        <w:tab/>
      </w:r>
      <w:r w:rsidRPr="00954485">
        <w:rPr>
          <w:rFonts w:ascii="Times New Roman" w:eastAsia="Times New Roman" w:hAnsi="Times New Roman" w:cs="Times New Roman"/>
          <w:lang w:eastAsia="lt-LT"/>
        </w:rPr>
        <w:tab/>
      </w:r>
      <w:r w:rsidRPr="00954485">
        <w:rPr>
          <w:rFonts w:ascii="Times New Roman" w:eastAsia="Times New Roman" w:hAnsi="Times New Roman" w:cs="Times New Roman"/>
          <w:lang w:eastAsia="lt-LT"/>
        </w:rPr>
        <w:tab/>
      </w:r>
      <w:r w:rsidR="00700128" w:rsidRPr="00954485">
        <w:rPr>
          <w:rFonts w:ascii="Times New Roman" w:eastAsia="Times New Roman" w:hAnsi="Times New Roman" w:cs="Times New Roman"/>
          <w:lang w:eastAsia="lt-LT"/>
        </w:rPr>
        <w:t>Klaipėdos rajono savivaldybės administracijos</w:t>
      </w:r>
      <w:r w:rsidR="00700128"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</w:t>
      </w:r>
    </w:p>
    <w:p w14:paraId="4F625020" w14:textId="22E46F62" w:rsidR="00700128" w:rsidRPr="00954485" w:rsidRDefault="004F5BD8" w:rsidP="00700128">
      <w:pPr>
        <w:tabs>
          <w:tab w:val="left" w:pos="5557"/>
          <w:tab w:val="left" w:pos="6840"/>
          <w:tab w:val="left" w:pos="7020"/>
        </w:tabs>
        <w:spacing w:after="0" w:line="240" w:lineRule="auto"/>
        <w:ind w:left="5184" w:right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91FD0"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0A70BC"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EA7347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691FD0"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sausio</w:t>
      </w:r>
      <w:r w:rsidR="004606E4"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1AEF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691FD0"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00128"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>d. įsakymu Nr.</w:t>
      </w:r>
      <w:r w:rsidR="008E70AD"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AV</w:t>
      </w:r>
      <w:r w:rsidR="00FB1AEF" w:rsidRPr="00FB1AEF">
        <w:rPr>
          <w:rFonts w:ascii="Times New Roman" w:eastAsia="Times New Roman" w:hAnsi="Times New Roman" w:cs="Times New Roman"/>
          <w:sz w:val="24"/>
          <w:szCs w:val="24"/>
          <w:lang w:eastAsia="lt-LT"/>
        </w:rPr>
        <w:t>-59</w:t>
      </w:r>
    </w:p>
    <w:p w14:paraId="09A8C25B" w14:textId="77777777" w:rsidR="00700128" w:rsidRPr="00954485" w:rsidRDefault="00700128" w:rsidP="00700128">
      <w:pPr>
        <w:tabs>
          <w:tab w:val="left" w:pos="5557"/>
          <w:tab w:val="left" w:pos="6840"/>
          <w:tab w:val="left" w:pos="702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34D1A9" w14:textId="77777777" w:rsidR="00700128" w:rsidRPr="00954485" w:rsidRDefault="00700128" w:rsidP="00700128">
      <w:pPr>
        <w:tabs>
          <w:tab w:val="left" w:pos="5557"/>
          <w:tab w:val="left" w:pos="6840"/>
          <w:tab w:val="left" w:pos="702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5448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VALSTYBINĖS KALBOS VARTOJIMO IR TAISYKLINGUMO KONTROLĖS ATLIKIMO KLAIPĖDOS RAJONO SAVIVALDYBĖJE </w:t>
      </w:r>
    </w:p>
    <w:p w14:paraId="475C0780" w14:textId="14967A90" w:rsidR="00700128" w:rsidRPr="00954485" w:rsidRDefault="00700128" w:rsidP="00700128">
      <w:pPr>
        <w:tabs>
          <w:tab w:val="left" w:pos="5557"/>
          <w:tab w:val="left" w:pos="6840"/>
          <w:tab w:val="left" w:pos="702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448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</w:t>
      </w:r>
      <w:r w:rsidR="000A70BC" w:rsidRPr="0095448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EA734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95448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METŲ PLANAS</w:t>
      </w:r>
    </w:p>
    <w:p w14:paraId="3098A1CD" w14:textId="77777777" w:rsidR="00700128" w:rsidRPr="00954485" w:rsidRDefault="00700128" w:rsidP="00700128">
      <w:pPr>
        <w:tabs>
          <w:tab w:val="left" w:pos="5557"/>
          <w:tab w:val="left" w:pos="6840"/>
          <w:tab w:val="left" w:pos="702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840951" w14:textId="77777777" w:rsidR="00700128" w:rsidRPr="00954485" w:rsidRDefault="00700128" w:rsidP="00700128">
      <w:pPr>
        <w:tabs>
          <w:tab w:val="left" w:pos="5557"/>
          <w:tab w:val="left" w:pos="6840"/>
          <w:tab w:val="left" w:pos="702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0"/>
        <w:gridCol w:w="6237"/>
        <w:gridCol w:w="4678"/>
      </w:tblGrid>
      <w:tr w:rsidR="00700128" w:rsidRPr="00954485" w14:paraId="380AB17E" w14:textId="77777777" w:rsidTr="009B3239">
        <w:tc>
          <w:tcPr>
            <w:tcW w:w="3510" w:type="dxa"/>
          </w:tcPr>
          <w:p w14:paraId="66664C14" w14:textId="77777777" w:rsidR="00700128" w:rsidRPr="00954485" w:rsidRDefault="00700128" w:rsidP="00D74FE9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Veiklos pavadinimas</w:t>
            </w:r>
          </w:p>
        </w:tc>
        <w:tc>
          <w:tcPr>
            <w:tcW w:w="6237" w:type="dxa"/>
          </w:tcPr>
          <w:p w14:paraId="7D818B6E" w14:textId="77777777" w:rsidR="00700128" w:rsidRPr="00954485" w:rsidRDefault="00700128" w:rsidP="00D74FE9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Tikrinama</w:t>
            </w:r>
          </w:p>
        </w:tc>
        <w:tc>
          <w:tcPr>
            <w:tcW w:w="4678" w:type="dxa"/>
          </w:tcPr>
          <w:p w14:paraId="6DCEF7F0" w14:textId="77777777" w:rsidR="00700128" w:rsidRPr="00954485" w:rsidRDefault="00700128" w:rsidP="00D74FE9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Pastabos</w:t>
            </w:r>
          </w:p>
        </w:tc>
      </w:tr>
      <w:tr w:rsidR="00700128" w:rsidRPr="00954485" w14:paraId="7DC6802D" w14:textId="77777777" w:rsidTr="009B3239">
        <w:tc>
          <w:tcPr>
            <w:tcW w:w="3510" w:type="dxa"/>
          </w:tcPr>
          <w:p w14:paraId="0D47F9A1" w14:textId="77777777" w:rsidR="00700128" w:rsidRPr="00954485" w:rsidRDefault="00D74FE9" w:rsidP="00700128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Įmonių, įstaigų ir organizacijų tikrinimas</w:t>
            </w:r>
          </w:p>
        </w:tc>
        <w:tc>
          <w:tcPr>
            <w:tcW w:w="6237" w:type="dxa"/>
          </w:tcPr>
          <w:p w14:paraId="48DF7F03" w14:textId="79F90C29" w:rsidR="000A70BC" w:rsidRPr="00954485" w:rsidRDefault="00EA7347" w:rsidP="00700128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Priekulės</w:t>
            </w:r>
            <w:r w:rsidR="000A70BC"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Simonaitytės</w:t>
            </w:r>
            <w:r w:rsidR="000A70BC"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606E4"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</w:t>
            </w:r>
          </w:p>
          <w:p w14:paraId="3730F511" w14:textId="109BAF85" w:rsidR="000A70BC" w:rsidRPr="00954485" w:rsidRDefault="00EA7347" w:rsidP="00700128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Dituvos</w:t>
            </w:r>
            <w:r w:rsidR="000A70BC"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pagrindinė mokykla</w:t>
            </w:r>
          </w:p>
          <w:p w14:paraId="6C3650AF" w14:textId="6A9B0CB7" w:rsidR="004F5BD8" w:rsidRPr="00954485" w:rsidRDefault="00EA7347" w:rsidP="00700128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Kretingalės</w:t>
            </w:r>
            <w:r w:rsidR="00F70439"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pagrindinė mokykla</w:t>
            </w:r>
          </w:p>
          <w:p w14:paraId="15129A4E" w14:textId="4FDEC24B" w:rsidR="00EA7347" w:rsidRDefault="00EA7347" w:rsidP="00700128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3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Priekulės vaikų lopšelis-darželis</w:t>
            </w:r>
          </w:p>
          <w:p w14:paraId="6ED88D69" w14:textId="04B5EE75" w:rsidR="00CE1CF2" w:rsidRDefault="00CE1CF2" w:rsidP="00700128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Laisvės kovų ir tremties istorijos muziejus</w:t>
            </w:r>
          </w:p>
          <w:p w14:paraId="5289B4FA" w14:textId="63090E9E" w:rsidR="00CE1CF2" w:rsidRDefault="00CE1CF2" w:rsidP="00700128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rajono savivaldybės priešgaisrinė tarnyba</w:t>
            </w:r>
          </w:p>
          <w:p w14:paraId="5890C37C" w14:textId="77777777" w:rsidR="00123CFF" w:rsidRDefault="00123CFF" w:rsidP="00123CFF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Restoranas „</w:t>
            </w:r>
            <w:r w:rsidRPr="00CE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Kinų drakonas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16EAC584" w14:textId="77777777" w:rsidR="00123CFF" w:rsidRDefault="00123CFF" w:rsidP="00123CFF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Šeimos restoranas „Mažoji Prūsija“</w:t>
            </w:r>
          </w:p>
          <w:p w14:paraId="2B879DA4" w14:textId="520C33B7" w:rsidR="00CE1CF2" w:rsidRDefault="00CE1CF2" w:rsidP="00700128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Kavinė „Skveras“</w:t>
            </w:r>
          </w:p>
          <w:p w14:paraId="3928D3EA" w14:textId="44A86428" w:rsidR="00CE1CF2" w:rsidRDefault="00CE1CF2" w:rsidP="00700128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Kavinė-baras „</w:t>
            </w:r>
            <w:proofErr w:type="spellStart"/>
            <w:r w:rsidRPr="00CE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Čiba</w:t>
            </w:r>
            <w:proofErr w:type="spellEnd"/>
            <w:r w:rsidRPr="00CE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0B1732E5" w14:textId="330A55D3" w:rsidR="00123CFF" w:rsidRDefault="00672E3E" w:rsidP="00700128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E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Picerija „Trolių pica“</w:t>
            </w:r>
          </w:p>
          <w:p w14:paraId="233DBC1D" w14:textId="77777777" w:rsidR="00F70439" w:rsidRPr="00954485" w:rsidRDefault="00F70439" w:rsidP="00700128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Visos Klaipėdos rajono savivaldybės seniūnijos </w:t>
            </w:r>
          </w:p>
        </w:tc>
        <w:tc>
          <w:tcPr>
            <w:tcW w:w="4678" w:type="dxa"/>
          </w:tcPr>
          <w:p w14:paraId="12666893" w14:textId="135929D5" w:rsidR="00700128" w:rsidRPr="00954485" w:rsidRDefault="00F70439" w:rsidP="009B3239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patikrinta, ar įstaigos, tvarkydamos ir rengdamos dokumentus, vykdo Valstybinės kalbos įstaty</w:t>
            </w:r>
            <w:r w:rsidR="009B3239"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mą ir vadovaujasi</w:t>
            </w: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Valstybinės lietuvių kalbos komisijos nutarimais bei kitais teisės aktais</w:t>
            </w:r>
            <w:r w:rsidR="009B3239"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reglamentuojančiais valstybinės kalbos vartojimą</w:t>
            </w: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B3239"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taisyklingumą</w:t>
            </w:r>
            <w:r w:rsidR="00672E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ar taisyklingi viešieji užrašai.</w:t>
            </w:r>
          </w:p>
        </w:tc>
      </w:tr>
      <w:tr w:rsidR="00700128" w:rsidRPr="00954485" w14:paraId="47C84966" w14:textId="77777777" w:rsidTr="009B3239">
        <w:tc>
          <w:tcPr>
            <w:tcW w:w="3510" w:type="dxa"/>
          </w:tcPr>
          <w:p w14:paraId="43304811" w14:textId="77777777" w:rsidR="00700128" w:rsidRPr="00954485" w:rsidRDefault="009B3239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Visuomenės informavimo priemonių tikrinimas</w:t>
            </w:r>
          </w:p>
        </w:tc>
        <w:tc>
          <w:tcPr>
            <w:tcW w:w="6237" w:type="dxa"/>
          </w:tcPr>
          <w:p w14:paraId="2E49889F" w14:textId="77777777" w:rsidR="00700128" w:rsidRPr="00954485" w:rsidRDefault="009B3239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rajono laikraštis „Banga“</w:t>
            </w:r>
          </w:p>
          <w:p w14:paraId="560B0A6F" w14:textId="77777777" w:rsidR="009B3239" w:rsidRPr="00954485" w:rsidRDefault="009B3239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Interneto portalas „Mano Gargždai“</w:t>
            </w:r>
          </w:p>
          <w:p w14:paraId="009C39E4" w14:textId="77777777" w:rsidR="009B3239" w:rsidRPr="00954485" w:rsidRDefault="009B3239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Tikrinamų įmonių, įstaigų ir organizacijų ir seniūnijų interneto svetainės</w:t>
            </w:r>
          </w:p>
        </w:tc>
        <w:tc>
          <w:tcPr>
            <w:tcW w:w="4678" w:type="dxa"/>
          </w:tcPr>
          <w:p w14:paraId="04659315" w14:textId="65B56F88" w:rsidR="00700128" w:rsidRPr="00954485" w:rsidRDefault="009B3239" w:rsidP="009B3239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patikrinta, ar vykdomas Valstybinės kalbos įstatymas ir laikomasi Valstybinės lietuvių kalbos komisijos nutarimų bei kitų teisės aktų, reglamentuojančių valstybinės kalbos vartojimą ir taisyklingumą</w:t>
            </w:r>
            <w:r w:rsidR="00E72E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00128" w:rsidRPr="00954485" w14:paraId="0FE726B4" w14:textId="77777777" w:rsidTr="009B3239">
        <w:tc>
          <w:tcPr>
            <w:tcW w:w="3510" w:type="dxa"/>
          </w:tcPr>
          <w:p w14:paraId="69B498F0" w14:textId="77777777" w:rsidR="009B3239" w:rsidRPr="00954485" w:rsidRDefault="009B3239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Reklamos ir viešųjų užrašų tikrinimas bei derinimas</w:t>
            </w:r>
          </w:p>
        </w:tc>
        <w:tc>
          <w:tcPr>
            <w:tcW w:w="6237" w:type="dxa"/>
          </w:tcPr>
          <w:p w14:paraId="505C29B2" w14:textId="77777777" w:rsidR="00700128" w:rsidRPr="00954485" w:rsidRDefault="009B3239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rajono savivaldybės teritorijoje esančios įstaigos</w:t>
            </w:r>
          </w:p>
        </w:tc>
        <w:tc>
          <w:tcPr>
            <w:tcW w:w="4678" w:type="dxa"/>
          </w:tcPr>
          <w:p w14:paraId="7AB86AD3" w14:textId="7C84AA31" w:rsidR="00700128" w:rsidRPr="00954485" w:rsidRDefault="00AE184A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 bus tikrinama įstaigų reklama, viešieji užrašai (pateiktos informacijos taisyklingumas) ir jų teisėtumas</w:t>
            </w:r>
            <w:r w:rsidR="00E72E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00128" w:rsidRPr="00954485" w14:paraId="336C2D7A" w14:textId="77777777" w:rsidTr="009B3239">
        <w:tc>
          <w:tcPr>
            <w:tcW w:w="3510" w:type="dxa"/>
          </w:tcPr>
          <w:p w14:paraId="31C47938" w14:textId="77777777" w:rsidR="00700128" w:rsidRPr="00954485" w:rsidRDefault="00700128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237" w:type="dxa"/>
          </w:tcPr>
          <w:p w14:paraId="596B2B2A" w14:textId="5D9C06F8" w:rsidR="00700128" w:rsidRPr="00954485" w:rsidRDefault="009B3239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Klaipėdos rajono seniūnijos</w:t>
            </w:r>
            <w:r w:rsidR="004606E4"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(teritorijos)</w:t>
            </w:r>
          </w:p>
        </w:tc>
        <w:tc>
          <w:tcPr>
            <w:tcW w:w="4678" w:type="dxa"/>
          </w:tcPr>
          <w:p w14:paraId="400A73FD" w14:textId="5405F655" w:rsidR="00700128" w:rsidRPr="00954485" w:rsidRDefault="00AE184A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Leidimų įrengti išorinę reklamą Klaipėdos rajono savivaldybėje išdavimo tvarkos apraše nustatyta </w:t>
            </w: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tvarka bus vertinamas (derinamas) išorinės reklamos teksto taisyklingumas</w:t>
            </w:r>
            <w:r w:rsidR="00E72E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006EC2C" w14:textId="77777777" w:rsidR="00E941F7" w:rsidRPr="00954485" w:rsidRDefault="00E941F7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F63D195" w14:textId="6C107FE2" w:rsidR="00E941F7" w:rsidRPr="00954485" w:rsidRDefault="00E941F7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941F7" w:rsidRPr="00954485" w14:paraId="0BDF77D4" w14:textId="77777777" w:rsidTr="009B3239">
        <w:tc>
          <w:tcPr>
            <w:tcW w:w="3510" w:type="dxa"/>
          </w:tcPr>
          <w:p w14:paraId="0021DEC8" w14:textId="5176D860" w:rsidR="00E941F7" w:rsidRPr="00954485" w:rsidRDefault="00E941F7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Veiklos pavadinimas</w:t>
            </w:r>
          </w:p>
        </w:tc>
        <w:tc>
          <w:tcPr>
            <w:tcW w:w="6237" w:type="dxa"/>
          </w:tcPr>
          <w:p w14:paraId="2E6C4326" w14:textId="48361B89" w:rsidR="00E941F7" w:rsidRPr="00954485" w:rsidRDefault="003A35E8" w:rsidP="00E941F7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Informuojama, o</w:t>
            </w:r>
            <w:r w:rsidR="00E941F7" w:rsidRPr="00954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rganizuojama, rengiama</w:t>
            </w:r>
          </w:p>
        </w:tc>
        <w:tc>
          <w:tcPr>
            <w:tcW w:w="4678" w:type="dxa"/>
          </w:tcPr>
          <w:p w14:paraId="0A58CDE5" w14:textId="5C5E7F53" w:rsidR="00E941F7" w:rsidRPr="00954485" w:rsidRDefault="00E941F7" w:rsidP="00E941F7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Pastabos</w:t>
            </w:r>
          </w:p>
        </w:tc>
      </w:tr>
      <w:tr w:rsidR="00700128" w:rsidRPr="00954485" w14:paraId="213887B7" w14:textId="77777777" w:rsidTr="009B3239">
        <w:tc>
          <w:tcPr>
            <w:tcW w:w="3510" w:type="dxa"/>
          </w:tcPr>
          <w:p w14:paraId="58196DF9" w14:textId="77777777" w:rsidR="00700128" w:rsidRPr="00954485" w:rsidRDefault="00AE184A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Juridinių ir fizinių asmenų konsultavimas kalbos taisyklingumo klausimais</w:t>
            </w:r>
          </w:p>
        </w:tc>
        <w:tc>
          <w:tcPr>
            <w:tcW w:w="6237" w:type="dxa"/>
          </w:tcPr>
          <w:p w14:paraId="629CBC53" w14:textId="77777777" w:rsidR="00700128" w:rsidRPr="00954485" w:rsidRDefault="00700128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</w:tcPr>
          <w:p w14:paraId="31F1B84F" w14:textId="03C7FFD0" w:rsidR="00700128" w:rsidRPr="00954485" w:rsidRDefault="00AE184A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 konsultacijos teikiamos raštu, telefonu ar žodžiu</w:t>
            </w:r>
            <w:r w:rsidR="00E72E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00128" w:rsidRPr="00954485" w14:paraId="7BC20C60" w14:textId="77777777" w:rsidTr="009B3239">
        <w:tc>
          <w:tcPr>
            <w:tcW w:w="3510" w:type="dxa"/>
          </w:tcPr>
          <w:p w14:paraId="10BB493B" w14:textId="77777777" w:rsidR="00700128" w:rsidRPr="00954485" w:rsidRDefault="00AE184A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 šviečiamoji veikla (metodinė medžiaga)</w:t>
            </w:r>
          </w:p>
        </w:tc>
        <w:tc>
          <w:tcPr>
            <w:tcW w:w="6237" w:type="dxa"/>
          </w:tcPr>
          <w:p w14:paraId="3581B1EC" w14:textId="77777777" w:rsidR="00700128" w:rsidRDefault="006941D3" w:rsidP="00E941F7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 mažiau kaip 5 straipsniai kalbos tem</w:t>
            </w:r>
            <w:r w:rsidR="00672E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omis</w:t>
            </w: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kiekvieną savaitę skelbiami trumpi kalbos patarimai „Kalbos žiupsneliai“ </w:t>
            </w:r>
          </w:p>
          <w:p w14:paraId="718ED865" w14:textId="77777777" w:rsidR="003A35E8" w:rsidRDefault="003A35E8" w:rsidP="00E941F7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7EDB6B1" w14:textId="77777777" w:rsidR="003A35E8" w:rsidRDefault="003A35E8" w:rsidP="00E941F7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7EEEB38" w14:textId="77777777" w:rsidR="003A35E8" w:rsidRDefault="003A35E8" w:rsidP="00E941F7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B31CFF7" w14:textId="77777777" w:rsidR="003A35E8" w:rsidRDefault="003A35E8" w:rsidP="00E941F7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0F74581" w14:textId="77777777" w:rsidR="003A35E8" w:rsidRDefault="003A35E8" w:rsidP="00E941F7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159636A" w14:textId="209924E5" w:rsidR="003A35E8" w:rsidRDefault="003A35E8" w:rsidP="00E941F7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Kiekvieną savaitę siunčiami skyrybos ir rašybos patarimai pagal atnaujintas taisykles Administracijos darbuotojams ir Savivaldybės tarybos nariams</w:t>
            </w:r>
          </w:p>
          <w:p w14:paraId="7BF5166D" w14:textId="793214EB" w:rsidR="003A35E8" w:rsidRPr="00954485" w:rsidRDefault="003A35E8" w:rsidP="00E941F7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</w:tcPr>
          <w:p w14:paraId="0140962A" w14:textId="2AAD7561" w:rsidR="00700128" w:rsidRDefault="006941D3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Straipsniai ir informaciniai pranešimai skelbiami </w:t>
            </w:r>
            <w:r w:rsidR="00E941F7"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rajono savivaldybės interneto svetainėje www.klaipedos-r.lt, spaudoje ir socialiniuose tinkluose (</w:t>
            </w:r>
            <w:proofErr w:type="spellStart"/>
            <w:r w:rsidR="00E941F7"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feisbuko</w:t>
            </w:r>
            <w:proofErr w:type="spellEnd"/>
            <w:r w:rsidR="00E941F7"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puslapyje „Kalba </w:t>
            </w:r>
            <w:proofErr w:type="spellStart"/>
            <w:r w:rsidR="00E941F7"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kalba</w:t>
            </w:r>
            <w:proofErr w:type="spellEnd"/>
            <w:r w:rsidR="00E941F7"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“, portale „Mano Gargždai“ ir laikraštyje „Banga“</w:t>
            </w: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E72E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942326E" w14:textId="77777777" w:rsidR="004F6A16" w:rsidRDefault="004F6A16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46A4412" w14:textId="5B7CC129" w:rsidR="004F6A16" w:rsidRPr="00954485" w:rsidRDefault="004F6A16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Siunčiama el. paštu</w:t>
            </w:r>
            <w:r w:rsidR="00E72E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00128" w:rsidRPr="00954485" w14:paraId="2A3E3687" w14:textId="77777777" w:rsidTr="009B3239">
        <w:tc>
          <w:tcPr>
            <w:tcW w:w="3510" w:type="dxa"/>
          </w:tcPr>
          <w:p w14:paraId="5E61B4A9" w14:textId="02736943" w:rsidR="00700128" w:rsidRPr="00954485" w:rsidRDefault="00AE184A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Renginiai</w:t>
            </w:r>
            <w:r w:rsidR="003A35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mokymai</w:t>
            </w:r>
          </w:p>
        </w:tc>
        <w:tc>
          <w:tcPr>
            <w:tcW w:w="6237" w:type="dxa"/>
          </w:tcPr>
          <w:p w14:paraId="667D8448" w14:textId="4826F7EE" w:rsidR="00700128" w:rsidRPr="00954485" w:rsidRDefault="00E941F7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Tarpsavivaldybinis protų mūšis „Tūkstantis kalbos klaustukų“ </w:t>
            </w:r>
            <w:r w:rsidR="00672E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Gargžduose</w:t>
            </w: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7547CC6" w14:textId="77777777" w:rsidR="006941D3" w:rsidRPr="00954485" w:rsidRDefault="006941D3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859C800" w14:textId="77777777" w:rsidR="006941D3" w:rsidRPr="00954485" w:rsidRDefault="006941D3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DABAD94" w14:textId="04DCD539" w:rsidR="006941D3" w:rsidRDefault="006941D3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Tinklalaidė</w:t>
            </w:r>
            <w:proofErr w:type="spellEnd"/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72E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aktualia lietuvių kalbos tema</w:t>
            </w:r>
          </w:p>
          <w:p w14:paraId="26EC9778" w14:textId="5D7B8D11" w:rsidR="00E72E2B" w:rsidRDefault="00E72E2B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7DFA109" w14:textId="345B6A79" w:rsidR="00E72E2B" w:rsidRPr="00954485" w:rsidRDefault="00E72E2B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aktualia lietuvių kalbos tema</w:t>
            </w:r>
          </w:p>
          <w:p w14:paraId="557182BE" w14:textId="77777777" w:rsidR="00954485" w:rsidRPr="00954485" w:rsidRDefault="00954485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8110D0E" w14:textId="77777777" w:rsidR="0055780E" w:rsidRDefault="0055780E" w:rsidP="00E72E2B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64AF670" w14:textId="4755F7D2" w:rsidR="00E72E2B" w:rsidRDefault="00E72E2B" w:rsidP="00E72E2B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Turistinis maršrutas „Kalbos keliais“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III dalis. Priekulė ir jos apylinkės</w:t>
            </w:r>
          </w:p>
          <w:p w14:paraId="7BDA92F0" w14:textId="77777777" w:rsidR="00954485" w:rsidRPr="00954485" w:rsidRDefault="00954485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9061A8C" w14:textId="77777777" w:rsidR="00954485" w:rsidRPr="00954485" w:rsidRDefault="00954485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D6F69EA" w14:textId="77777777" w:rsidR="00954485" w:rsidRPr="00954485" w:rsidRDefault="00954485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261B8CC" w14:textId="77777777" w:rsidR="003A35E8" w:rsidRDefault="003A35E8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70037BB" w14:textId="77777777" w:rsidR="003A35E8" w:rsidRDefault="003A35E8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06CCFD9" w14:textId="77777777" w:rsidR="003A35E8" w:rsidRDefault="003A35E8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C42A56E" w14:textId="77777777" w:rsidR="003A35E8" w:rsidRDefault="003A35E8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55CA5E9" w14:textId="09BFDD4A" w:rsidR="003A35E8" w:rsidRPr="00954485" w:rsidRDefault="003A35E8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</w:tcPr>
          <w:p w14:paraId="38DEA1EC" w14:textId="5C0B2134" w:rsidR="00E941F7" w:rsidRPr="00954485" w:rsidRDefault="006941D3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Atsižvelgiant į ekstremaliąją situaciją dėl koronaviruso pand</w:t>
            </w:r>
            <w:r w:rsidR="00672E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mijos, </w:t>
            </w:r>
            <w:r w:rsidR="003A35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renginys planuojamas antrą pusmetį</w:t>
            </w:r>
            <w:r w:rsidR="00E72E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1462602" w14:textId="77777777" w:rsidR="006941D3" w:rsidRPr="00954485" w:rsidRDefault="006941D3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9E06B7B" w14:textId="3205A387" w:rsidR="00954485" w:rsidRDefault="00576B87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Skirta Lietuvių kalbos dienoms</w:t>
            </w:r>
            <w:r w:rsidR="00E72E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1747D1F" w14:textId="77777777" w:rsidR="00672E3E" w:rsidRPr="00954485" w:rsidRDefault="00672E3E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6378610" w14:textId="4AF6E5D5" w:rsidR="00E72E2B" w:rsidRDefault="00E72E2B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Skirtas Tarptautinei raštingumo dienai (rugsėjo 8-ajai</w:t>
            </w:r>
            <w:r w:rsidR="005578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012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C5673ED" w14:textId="77777777" w:rsidR="00E72E2B" w:rsidRDefault="00E72E2B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CE9A338" w14:textId="7CDC0533" w:rsidR="00954485" w:rsidRDefault="00954485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Maršrutas, kuriame bus pažymėtos vietos, susijusios su žinomų Klaipėdos rajono rašytojais, kalbininkais, </w:t>
            </w: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spaustuvininkais, kitais kalbos puoselėtojais, sukurtas kartu su J. Lankučio vieš</w:t>
            </w:r>
            <w:r w:rsidR="00E72E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</w:t>
            </w: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</w:t>
            </w:r>
            <w:r w:rsidR="00E72E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biblioteka</w:t>
            </w:r>
            <w:r w:rsidR="0057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Klaipėdos rajono turizmo informacijos centru</w:t>
            </w:r>
            <w:r w:rsidR="0057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Priekulės I. Simonaitytės gimnazija, Laisvės kovų ir tremties muziejumi</w:t>
            </w:r>
            <w:r w:rsidR="00012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52D69BD" w14:textId="4D246472" w:rsidR="003A35E8" w:rsidRPr="00954485" w:rsidRDefault="003A35E8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00128" w:rsidRPr="00954485" w14:paraId="4DD07B5C" w14:textId="77777777" w:rsidTr="009B3239">
        <w:tc>
          <w:tcPr>
            <w:tcW w:w="3510" w:type="dxa"/>
          </w:tcPr>
          <w:p w14:paraId="2FBE9BBB" w14:textId="3AE7F0A1" w:rsidR="00700128" w:rsidRPr="00954485" w:rsidRDefault="00954485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Veiklos pavadinimas</w:t>
            </w:r>
          </w:p>
        </w:tc>
        <w:tc>
          <w:tcPr>
            <w:tcW w:w="6237" w:type="dxa"/>
          </w:tcPr>
          <w:p w14:paraId="3E6921BC" w14:textId="63D67E68" w:rsidR="00700128" w:rsidRPr="00954485" w:rsidRDefault="00954485" w:rsidP="00954485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Derinama</w:t>
            </w:r>
          </w:p>
        </w:tc>
        <w:tc>
          <w:tcPr>
            <w:tcW w:w="4678" w:type="dxa"/>
          </w:tcPr>
          <w:p w14:paraId="62400A1A" w14:textId="06183947" w:rsidR="00700128" w:rsidRPr="00954485" w:rsidRDefault="00954485" w:rsidP="00954485">
            <w:pPr>
              <w:tabs>
                <w:tab w:val="left" w:pos="5557"/>
                <w:tab w:val="left" w:pos="6840"/>
                <w:tab w:val="left" w:pos="7020"/>
              </w:tabs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Pastabos</w:t>
            </w:r>
          </w:p>
        </w:tc>
      </w:tr>
      <w:tr w:rsidR="00700128" w:rsidRPr="00954485" w14:paraId="26DCDEB5" w14:textId="77777777" w:rsidTr="009B3239">
        <w:tc>
          <w:tcPr>
            <w:tcW w:w="3510" w:type="dxa"/>
          </w:tcPr>
          <w:p w14:paraId="5219522F" w14:textId="30E1D5D4" w:rsidR="00700128" w:rsidRPr="00954485" w:rsidRDefault="00954485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rajono savivaldybės tarybos sprendimų, mero potvarkių, administracijos direktoriaus įsakymų, siunčiamųjų raštų, protokolų ir kitų dokumentų projektų derinimas</w:t>
            </w:r>
          </w:p>
        </w:tc>
        <w:tc>
          <w:tcPr>
            <w:tcW w:w="6237" w:type="dxa"/>
          </w:tcPr>
          <w:p w14:paraId="3072C624" w14:textId="77777777" w:rsidR="00700128" w:rsidRPr="00954485" w:rsidRDefault="00700128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</w:tcPr>
          <w:p w14:paraId="3E283097" w14:textId="1FC07A27" w:rsidR="00700128" w:rsidRPr="00954485" w:rsidRDefault="00954485" w:rsidP="0098761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Tikrinama ir derinama nuolat</w:t>
            </w:r>
            <w:r w:rsidR="00012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954485" w:rsidRPr="00954485" w14:paraId="77D703FB" w14:textId="77777777" w:rsidTr="008322C5">
        <w:tc>
          <w:tcPr>
            <w:tcW w:w="3510" w:type="dxa"/>
          </w:tcPr>
          <w:p w14:paraId="02589508" w14:textId="3DAE5CCD" w:rsidR="00954485" w:rsidRPr="00954485" w:rsidRDefault="00954485" w:rsidP="0095448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Informacijos, keliamos į Klaipėdos rajono savivaldybės interneto svetainę, tikrinimas</w:t>
            </w:r>
          </w:p>
        </w:tc>
        <w:tc>
          <w:tcPr>
            <w:tcW w:w="6237" w:type="dxa"/>
          </w:tcPr>
          <w:p w14:paraId="1B5A0E21" w14:textId="77777777" w:rsidR="00954485" w:rsidRPr="00954485" w:rsidRDefault="00954485" w:rsidP="0095448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</w:tcPr>
          <w:p w14:paraId="68DCC0A2" w14:textId="361AF120" w:rsidR="00954485" w:rsidRPr="00954485" w:rsidRDefault="00954485" w:rsidP="00954485">
            <w:pPr>
              <w:tabs>
                <w:tab w:val="left" w:pos="5557"/>
                <w:tab w:val="left" w:pos="6840"/>
                <w:tab w:val="left" w:pos="7020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54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Tikrinama nuolat</w:t>
            </w:r>
            <w:r w:rsidR="00012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14:paraId="0EC09B10" w14:textId="77777777" w:rsidR="00700128" w:rsidRPr="00954485" w:rsidRDefault="00700128" w:rsidP="00700128">
      <w:pPr>
        <w:tabs>
          <w:tab w:val="left" w:pos="5557"/>
          <w:tab w:val="left" w:pos="6840"/>
          <w:tab w:val="left" w:pos="702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09776D" w14:textId="77777777" w:rsidR="00700128" w:rsidRPr="00954485" w:rsidRDefault="00700128" w:rsidP="00700128">
      <w:pPr>
        <w:tabs>
          <w:tab w:val="left" w:pos="5557"/>
          <w:tab w:val="left" w:pos="6840"/>
          <w:tab w:val="left" w:pos="702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37566F" w14:textId="77777777" w:rsidR="00700128" w:rsidRPr="00954485" w:rsidRDefault="00700128" w:rsidP="00700128">
      <w:pPr>
        <w:tabs>
          <w:tab w:val="left" w:pos="5557"/>
          <w:tab w:val="left" w:pos="6840"/>
          <w:tab w:val="left" w:pos="702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FB9EE4" w14:textId="77777777" w:rsidR="00700128" w:rsidRPr="00954485" w:rsidRDefault="00700128" w:rsidP="00700128">
      <w:pPr>
        <w:tabs>
          <w:tab w:val="left" w:pos="5557"/>
          <w:tab w:val="left" w:pos="6840"/>
          <w:tab w:val="left" w:pos="7020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448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</w:t>
      </w:r>
    </w:p>
    <w:p w14:paraId="7D0B5E00" w14:textId="77777777" w:rsidR="003D006B" w:rsidRPr="00954485" w:rsidRDefault="003D006B"/>
    <w:sectPr w:rsidR="003D006B" w:rsidRPr="00954485" w:rsidSect="00243E00">
      <w:headerReference w:type="default" r:id="rId6"/>
      <w:pgSz w:w="16838" w:h="11906" w:orient="landscape"/>
      <w:pgMar w:top="567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1B54" w14:textId="77777777" w:rsidR="00670663" w:rsidRDefault="00670663" w:rsidP="00243E00">
      <w:pPr>
        <w:spacing w:after="0" w:line="240" w:lineRule="auto"/>
      </w:pPr>
      <w:r>
        <w:separator/>
      </w:r>
    </w:p>
  </w:endnote>
  <w:endnote w:type="continuationSeparator" w:id="0">
    <w:p w14:paraId="625CE6AD" w14:textId="77777777" w:rsidR="00670663" w:rsidRDefault="00670663" w:rsidP="0024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F497" w14:textId="77777777" w:rsidR="00670663" w:rsidRDefault="00670663" w:rsidP="00243E00">
      <w:pPr>
        <w:spacing w:after="0" w:line="240" w:lineRule="auto"/>
      </w:pPr>
      <w:r>
        <w:separator/>
      </w:r>
    </w:p>
  </w:footnote>
  <w:footnote w:type="continuationSeparator" w:id="0">
    <w:p w14:paraId="360254C3" w14:textId="77777777" w:rsidR="00670663" w:rsidRDefault="00670663" w:rsidP="0024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84176"/>
      <w:docPartObj>
        <w:docPartGallery w:val="Page Numbers (Top of Page)"/>
        <w:docPartUnique/>
      </w:docPartObj>
    </w:sdtPr>
    <w:sdtEndPr/>
    <w:sdtContent>
      <w:p w14:paraId="52367A1E" w14:textId="77777777" w:rsidR="00243E00" w:rsidRDefault="00243E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A7B">
          <w:rPr>
            <w:noProof/>
          </w:rPr>
          <w:t>3</w:t>
        </w:r>
        <w:r>
          <w:fldChar w:fldCharType="end"/>
        </w:r>
      </w:p>
    </w:sdtContent>
  </w:sdt>
  <w:p w14:paraId="0EF7C2A5" w14:textId="77777777" w:rsidR="00243E00" w:rsidRDefault="00243E0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28"/>
    <w:rsid w:val="000122BC"/>
    <w:rsid w:val="00016C54"/>
    <w:rsid w:val="00016C71"/>
    <w:rsid w:val="00095900"/>
    <w:rsid w:val="000A70BC"/>
    <w:rsid w:val="00123CFF"/>
    <w:rsid w:val="00135490"/>
    <w:rsid w:val="00162A7B"/>
    <w:rsid w:val="001D1CAC"/>
    <w:rsid w:val="001E7BE7"/>
    <w:rsid w:val="00225BAF"/>
    <w:rsid w:val="00243E00"/>
    <w:rsid w:val="002D175C"/>
    <w:rsid w:val="00357262"/>
    <w:rsid w:val="003A35E8"/>
    <w:rsid w:val="003B49EF"/>
    <w:rsid w:val="003D006B"/>
    <w:rsid w:val="003D1813"/>
    <w:rsid w:val="003F3FBD"/>
    <w:rsid w:val="004606E4"/>
    <w:rsid w:val="00480035"/>
    <w:rsid w:val="004F5BD8"/>
    <w:rsid w:val="004F6A16"/>
    <w:rsid w:val="00517D69"/>
    <w:rsid w:val="0055780E"/>
    <w:rsid w:val="00576B87"/>
    <w:rsid w:val="00670663"/>
    <w:rsid w:val="00672E3E"/>
    <w:rsid w:val="00691FD0"/>
    <w:rsid w:val="006941D3"/>
    <w:rsid w:val="00700128"/>
    <w:rsid w:val="007B3B0F"/>
    <w:rsid w:val="007D44F2"/>
    <w:rsid w:val="008322C5"/>
    <w:rsid w:val="008E70AD"/>
    <w:rsid w:val="00954485"/>
    <w:rsid w:val="009954BA"/>
    <w:rsid w:val="009B3239"/>
    <w:rsid w:val="009C24BD"/>
    <w:rsid w:val="009C3754"/>
    <w:rsid w:val="009E5AE3"/>
    <w:rsid w:val="00AE184A"/>
    <w:rsid w:val="00CE1CF2"/>
    <w:rsid w:val="00D74FE9"/>
    <w:rsid w:val="00DE3672"/>
    <w:rsid w:val="00E72E2B"/>
    <w:rsid w:val="00E941F7"/>
    <w:rsid w:val="00EA7347"/>
    <w:rsid w:val="00F70439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1CC9"/>
  <w15:docId w15:val="{8A17BA16-3DC4-4D92-9548-E36E3C2D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700128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entelstinklelis">
    <w:name w:val="Table Grid"/>
    <w:basedOn w:val="prastojilentel"/>
    <w:uiPriority w:val="59"/>
    <w:rsid w:val="0070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43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3E00"/>
  </w:style>
  <w:style w:type="paragraph" w:styleId="Porat">
    <w:name w:val="footer"/>
    <w:basedOn w:val="prastasis"/>
    <w:link w:val="PoratDiagrama"/>
    <w:uiPriority w:val="99"/>
    <w:unhideWhenUsed/>
    <w:rsid w:val="00243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Beliokaitė</dc:creator>
  <cp:lastModifiedBy>Daiva Beliokaitė</cp:lastModifiedBy>
  <cp:revision>2</cp:revision>
  <cp:lastPrinted>2019-01-28T13:01:00Z</cp:lastPrinted>
  <dcterms:created xsi:type="dcterms:W3CDTF">2022-01-10T06:18:00Z</dcterms:created>
  <dcterms:modified xsi:type="dcterms:W3CDTF">2022-01-10T06:18:00Z</dcterms:modified>
</cp:coreProperties>
</file>