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lineRule="auto" w:line="240" w:before="0" w:after="0"/>
        <w:jc w:val="center"/>
        <w:rPr>
          <w:rFonts w:ascii="Times New Roman" w:hAnsi="Times New Roman"/>
          <w:b/>
          <w:b/>
          <w:color w:val="000000"/>
          <w:sz w:val="24"/>
          <w:szCs w:val="24"/>
        </w:rPr>
      </w:pPr>
      <w:r>
        <w:rPr>
          <w:rFonts w:cs="Times New Roman" w:ascii="Times New Roman" w:hAnsi="Times New Roman"/>
          <w:b/>
          <w:bCs/>
          <w:color w:val="000000"/>
          <w:sz w:val="24"/>
          <w:szCs w:val="24"/>
        </w:rPr>
        <w:t>DĖL ŽEMĖS SKLYP</w:t>
      </w:r>
      <w:r>
        <w:rPr>
          <w:rFonts w:eastAsia="Calibri" w:cs="Times New Roman" w:ascii="Times New Roman" w:hAnsi="Times New Roman"/>
          <w:b/>
          <w:bCs/>
          <w:color w:val="000000"/>
          <w:kern w:val="0"/>
          <w:sz w:val="24"/>
          <w:szCs w:val="24"/>
          <w:lang w:val="lt-LT" w:eastAsia="en-US" w:bidi="ar-SA"/>
        </w:rPr>
        <w:t>O</w:t>
      </w:r>
      <w:r>
        <w:rPr>
          <w:rFonts w:cs="Times New Roman" w:ascii="Times New Roman" w:hAnsi="Times New Roman"/>
          <w:b/>
          <w:bCs/>
          <w:color w:val="000000"/>
          <w:sz w:val="24"/>
          <w:szCs w:val="24"/>
        </w:rPr>
        <w:t xml:space="preserve"> (KAD. NR. 55</w:t>
      </w:r>
      <w:r>
        <w:rPr>
          <w:rFonts w:eastAsia="Calibri" w:cs="Times New Roman" w:ascii="Times New Roman" w:hAnsi="Times New Roman"/>
          <w:b/>
          <w:bCs/>
          <w:color w:val="000000"/>
          <w:kern w:val="0"/>
          <w:sz w:val="24"/>
          <w:szCs w:val="24"/>
          <w:lang w:val="lt-LT" w:eastAsia="en-US" w:bidi="ar-SA"/>
        </w:rPr>
        <w:t>23</w:t>
      </w:r>
      <w:r>
        <w:rPr>
          <w:rFonts w:cs="Times New Roman" w:ascii="Times New Roman" w:hAnsi="Times New Roman"/>
          <w:b/>
          <w:bCs/>
          <w:color w:val="000000"/>
          <w:sz w:val="24"/>
          <w:szCs w:val="24"/>
        </w:rPr>
        <w:t>/00</w:t>
      </w:r>
      <w:r>
        <w:rPr>
          <w:rFonts w:eastAsia="Calibri" w:cs="Times New Roman" w:ascii="Times New Roman" w:hAnsi="Times New Roman"/>
          <w:b/>
          <w:bCs/>
          <w:color w:val="000000"/>
          <w:kern w:val="0"/>
          <w:sz w:val="24"/>
          <w:szCs w:val="24"/>
          <w:lang w:val="lt-LT" w:eastAsia="en-US" w:bidi="ar-SA"/>
        </w:rPr>
        <w:t>0</w:t>
      </w:r>
      <w:r>
        <w:rPr>
          <w:rFonts w:eastAsia="Calibri" w:cs="Times New Roman" w:ascii="Times New Roman" w:hAnsi="Times New Roman"/>
          <w:b/>
          <w:bCs/>
          <w:color w:val="000000"/>
          <w:kern w:val="0"/>
          <w:sz w:val="24"/>
          <w:szCs w:val="24"/>
          <w:lang w:val="lt-LT" w:eastAsia="en-US" w:bidi="ar-SA"/>
        </w:rPr>
        <w:t>2</w:t>
      </w:r>
      <w:r>
        <w:rPr>
          <w:rFonts w:cs="Times New Roman" w:ascii="Times New Roman" w:hAnsi="Times New Roman"/>
          <w:b/>
          <w:bCs/>
          <w:color w:val="000000"/>
          <w:sz w:val="24"/>
          <w:szCs w:val="24"/>
        </w:rPr>
        <w:t>:</w:t>
      </w:r>
      <w:r>
        <w:rPr>
          <w:rFonts w:eastAsia="Calibri" w:cs="Times New Roman" w:ascii="Times New Roman" w:hAnsi="Times New Roman"/>
          <w:b/>
          <w:bCs/>
          <w:color w:val="000000"/>
          <w:kern w:val="0"/>
          <w:sz w:val="24"/>
          <w:szCs w:val="24"/>
          <w:lang w:val="lt-LT" w:eastAsia="en-US" w:bidi="ar-SA"/>
        </w:rPr>
        <w:t>795</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GINDULIŲ</w:t>
      </w:r>
      <w:r>
        <w:rPr>
          <w:rFonts w:eastAsia="Calibri" w:cs="Times New Roman" w:ascii="Times New Roman" w:hAnsi="Times New Roman"/>
          <w:b/>
          <w:bCs/>
          <w:color w:val="000000"/>
          <w:kern w:val="0"/>
          <w:sz w:val="24"/>
          <w:szCs w:val="24"/>
          <w:lang w:val="lt-LT" w:eastAsia="en-US" w:bidi="ar-SA"/>
        </w:rPr>
        <w:t xml:space="preserve"> K</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SENDVARIO</w:t>
      </w:r>
      <w:r>
        <w:rPr>
          <w:rFonts w:cs="Times New Roman" w:ascii="Times New Roman" w:hAnsi="Times New Roman"/>
          <w:b/>
          <w:bCs/>
          <w:color w:val="000000"/>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cs="Times New Roman"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o</w:t>
      </w:r>
      <w:r>
        <w:rPr>
          <w:rFonts w:cs="Times New Roman" w:ascii="Times New Roman" w:hAnsi="Times New Roman"/>
          <w:color w:val="000000"/>
          <w:sz w:val="24"/>
          <w:szCs w:val="24"/>
        </w:rPr>
        <w:t xml:space="preserve"> </w:t>
      </w:r>
      <w:r>
        <w:rPr>
          <w:rFonts w:cs="Times New Roman" w:ascii="Times New Roman" w:hAnsi="Times New Roman"/>
          <w:bCs/>
          <w:sz w:val="24"/>
          <w:szCs w:val="24"/>
        </w:rPr>
        <w:t xml:space="preserve">(kad. Nr. </w:t>
      </w:r>
      <w:r>
        <w:rPr>
          <w:rFonts w:eastAsia="Calibri" w:cs="Times New Roman" w:ascii="Times New Roman" w:hAnsi="Times New Roman"/>
          <w:b w:val="false"/>
          <w:bCs w:val="false"/>
          <w:color w:val="000000"/>
          <w:kern w:val="0"/>
          <w:sz w:val="24"/>
          <w:szCs w:val="24"/>
          <w:lang w:val="lt-LT" w:eastAsia="en-US" w:bidi="ar-SA"/>
        </w:rPr>
        <w:t>55</w:t>
      </w:r>
      <w:r>
        <w:rPr>
          <w:rFonts w:eastAsia="Calibri" w:cs="Times New Roman" w:ascii="Times New Roman" w:hAnsi="Times New Roman"/>
          <w:b w:val="false"/>
          <w:bCs w:val="false"/>
          <w:color w:val="000000"/>
          <w:kern w:val="0"/>
          <w:sz w:val="24"/>
          <w:szCs w:val="24"/>
          <w:lang w:val="lt-LT" w:eastAsia="en-US" w:bidi="ar-SA"/>
        </w:rPr>
        <w:t>23</w:t>
      </w:r>
      <w:r>
        <w:rPr>
          <w:rFonts w:eastAsia="Calibri" w:cs="Times New Roman" w:ascii="Times New Roman" w:hAnsi="Times New Roman"/>
          <w:b w:val="false"/>
          <w:bCs w:val="false"/>
          <w:color w:val="000000"/>
          <w:kern w:val="0"/>
          <w:sz w:val="24"/>
          <w:szCs w:val="24"/>
          <w:lang w:val="lt-LT" w:eastAsia="en-US" w:bidi="ar-SA"/>
        </w:rPr>
        <w:t>/000</w:t>
      </w:r>
      <w:r>
        <w:rPr>
          <w:rFonts w:eastAsia="Calibri" w:cs="Times New Roman" w:ascii="Times New Roman" w:hAnsi="Times New Roman"/>
          <w:b w:val="false"/>
          <w:bCs w:val="false"/>
          <w:color w:val="000000"/>
          <w:kern w:val="0"/>
          <w:sz w:val="24"/>
          <w:szCs w:val="24"/>
          <w:lang w:val="lt-LT" w:eastAsia="en-US" w:bidi="ar-SA"/>
        </w:rPr>
        <w:t>2</w:t>
      </w:r>
      <w:r>
        <w:rPr>
          <w:rFonts w:eastAsia="Calibri" w:cs="Times New Roman" w:ascii="Times New Roman" w:hAnsi="Times New Roman"/>
          <w:b w:val="false"/>
          <w:bCs w:val="false"/>
          <w:color w:val="000000"/>
          <w:kern w:val="0"/>
          <w:sz w:val="24"/>
          <w:szCs w:val="24"/>
          <w:lang w:val="lt-LT" w:eastAsia="en-US" w:bidi="ar-SA"/>
        </w:rPr>
        <w:t>:</w:t>
      </w:r>
      <w:r>
        <w:rPr>
          <w:rFonts w:eastAsia="Calibri" w:cs="Times New Roman" w:ascii="Times New Roman" w:hAnsi="Times New Roman"/>
          <w:b w:val="false"/>
          <w:bCs w:val="false"/>
          <w:color w:val="000000"/>
          <w:kern w:val="0"/>
          <w:sz w:val="24"/>
          <w:szCs w:val="24"/>
          <w:lang w:val="lt-LT" w:eastAsia="en-US" w:bidi="ar-SA"/>
        </w:rPr>
        <w:t>795</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Gindulių</w:t>
      </w:r>
      <w:r>
        <w:rPr>
          <w:rFonts w:eastAsia="Calibri" w:cs="Times New Roman" w:ascii="Times New Roman" w:hAnsi="Times New Roman"/>
          <w:bCs/>
          <w:color w:val="auto"/>
          <w:kern w:val="0"/>
          <w:sz w:val="24"/>
          <w:szCs w:val="24"/>
          <w:lang w:val="lt-LT" w:eastAsia="en-US" w:bidi="ar-SA"/>
        </w:rPr>
        <w:t xml:space="preserve"> k</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Sendvario</w:t>
      </w:r>
      <w:r>
        <w:rPr>
          <w:rFonts w:cs="Times New Roman" w:ascii="Times New Roman" w:hAnsi="Times New Roman"/>
          <w:bCs/>
          <w:sz w:val="24"/>
          <w:szCs w:val="24"/>
        </w:rPr>
        <w:t xml:space="preserve"> sen.,</w:t>
      </w:r>
      <w:r>
        <w:rPr>
          <w:rFonts w:cs="Times New Roman" w:ascii="Times New Roman" w:hAnsi="Times New Roman"/>
          <w:b/>
          <w:bCs/>
          <w:sz w:val="24"/>
          <w:szCs w:val="24"/>
        </w:rPr>
        <w:t xml:space="preserve"> </w:t>
      </w:r>
      <w:r>
        <w:rPr>
          <w:rFonts w:cs="Times New Roman" w:ascii="Times New Roman" w:hAnsi="Times New Roman"/>
          <w:bCs/>
          <w:sz w:val="24"/>
          <w:szCs w:val="24"/>
        </w:rPr>
        <w:t>Klaipėdos r. sav.</w:t>
      </w:r>
      <w:r>
        <w:rPr>
          <w:rFonts w:cs="Times New Roman" w:ascii="Times New Roman" w:hAnsi="Times New Roman"/>
          <w:b w:val="false"/>
          <w:bCs w:val="false"/>
          <w:sz w:val="24"/>
          <w:szCs w:val="24"/>
        </w:rPr>
        <w:t xml:space="preserve"> (schema pridedama) </w:t>
      </w:r>
      <w:r>
        <w:rPr>
          <w:rFonts w:cs="Times New Roman" w:ascii="Times New Roman" w:hAnsi="Times New Roman"/>
          <w:bCs/>
          <w:sz w:val="24"/>
          <w:szCs w:val="24"/>
        </w:rPr>
        <w:t xml:space="preserve">detalųjį planą, numatantį koreguoti </w:t>
      </w:r>
      <w:r>
        <w:rPr>
          <w:rStyle w:val="FontStyle13"/>
          <w:rFonts w:eastAsia="Times New Roman" w:cs="Times New Roman" w:ascii="Times New Roman" w:hAnsi="Times New Roman"/>
          <w:bCs/>
          <w:color w:val="auto"/>
          <w:kern w:val="0"/>
          <w:sz w:val="24"/>
          <w:szCs w:val="24"/>
          <w:lang w:val="lt-LT" w:eastAsia="en-US" w:bidi="ar-SA"/>
        </w:rPr>
        <w:t>de</w:t>
      </w:r>
      <w:r>
        <w:rPr>
          <w:rFonts w:cs="Times New Roman" w:ascii="Times New Roman" w:hAnsi="Times New Roman"/>
          <w:bCs/>
          <w:sz w:val="24"/>
          <w:szCs w:val="24"/>
        </w:rPr>
        <w:t xml:space="preserve">taliojo plano, </w:t>
      </w:r>
      <w:r>
        <w:rPr>
          <w:rStyle w:val="FontStyle13"/>
          <w:rFonts w:ascii="Times New Roman" w:hAnsi="Times New Roman"/>
          <w:bCs/>
          <w:sz w:val="24"/>
          <w:szCs w:val="24"/>
          <w:lang w:val="lt-LT" w:eastAsia="lt-LT"/>
        </w:rPr>
        <w:t xml:space="preserve">reg. Nr. </w:t>
      </w:r>
      <w:r>
        <w:rPr>
          <w:rStyle w:val="FontStyle13"/>
          <w:rFonts w:eastAsia="Times New Roman" w:cs="Times New Roman" w:ascii="Times New Roman" w:hAnsi="Times New Roman"/>
          <w:bCs/>
          <w:color w:val="auto"/>
          <w:kern w:val="0"/>
          <w:sz w:val="24"/>
          <w:szCs w:val="24"/>
          <w:lang w:val="lt-LT" w:eastAsia="en-US" w:bidi="ar-SA"/>
        </w:rPr>
        <w:t>00355300</w:t>
      </w:r>
      <w:r>
        <w:rPr>
          <w:rStyle w:val="FontStyle13"/>
          <w:rFonts w:eastAsia="Times New Roman" w:cs="Times New Roman" w:ascii="Times New Roman" w:hAnsi="Times New Roman"/>
          <w:bCs/>
          <w:color w:val="auto"/>
          <w:kern w:val="0"/>
          <w:sz w:val="24"/>
          <w:szCs w:val="24"/>
          <w:lang w:val="lt-LT" w:eastAsia="en-US" w:bidi="ar-SA"/>
        </w:rPr>
        <w:t>1829</w:t>
      </w:r>
      <w:r>
        <w:rPr>
          <w:rStyle w:val="FontStyle13"/>
          <w:rFonts w:eastAsia="Times New Roman" w:cs="Times New Roman" w:ascii="Times New Roman" w:hAnsi="Times New Roman"/>
          <w:bCs/>
          <w:color w:val="auto"/>
          <w:kern w:val="0"/>
          <w:sz w:val="24"/>
          <w:szCs w:val="24"/>
          <w:lang w:val="lt-LT" w:eastAsia="en-US" w:bidi="ar-SA"/>
        </w:rPr>
        <w:t>,</w:t>
      </w:r>
      <w:r>
        <w:rPr>
          <w:rFonts w:cs="Times New Roman" w:ascii="Times New Roman" w:hAnsi="Times New Roman"/>
          <w:bCs/>
          <w:sz w:val="24"/>
          <w:szCs w:val="24"/>
        </w:rPr>
        <w:t xml:space="preserve"> sprendinius (planavimo tikslai – žemės sklyp</w:t>
      </w:r>
      <w:r>
        <w:rPr>
          <w:rFonts w:eastAsia="Calibri" w:cs="Times New Roman" w:ascii="Times New Roman" w:hAnsi="Times New Roman"/>
          <w:bCs/>
          <w:color w:val="auto"/>
          <w:kern w:val="0"/>
          <w:sz w:val="24"/>
          <w:szCs w:val="24"/>
          <w:lang w:val="lt-LT" w:eastAsia="en-US" w:bidi="ar-SA"/>
        </w:rPr>
        <w:t>ą</w:t>
      </w:r>
      <w:r>
        <w:rPr>
          <w:rFonts w:cs="Times New Roman" w:ascii="Times New Roman" w:hAnsi="Times New Roman"/>
          <w:bCs/>
          <w:sz w:val="24"/>
          <w:szCs w:val="24"/>
        </w:rPr>
        <w:t xml:space="preserve"> padalinti į sklypus, naudojimo būdas – vienbučių ir dvibučių gyvenamųjų pastatų teritorijos, esant būtinumui skirti susisiekimo ir inžinerinių tinklų koridorių teritorijas (inžinerinės infrastruktūros teritorijas)).</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teritorijų planavimo skyriui Teritorijų planavimo proceso inicijavimo sutarties projekte nustatyti, kad teritorijų planavimo dokumento rengėją savo nuožiūra pasirenka ir teritorijų planavimo dokumento rengimą finansuoja </w:t>
      </w:r>
      <w:r>
        <w:rPr>
          <w:rFonts w:eastAsia="Calibri" w:cs="Times New Roman" w:ascii="Times New Roman" w:hAnsi="Times New Roman"/>
          <w:color w:val="000000"/>
          <w:kern w:val="0"/>
          <w:sz w:val="24"/>
          <w:szCs w:val="24"/>
          <w:lang w:val="lt-LT" w:eastAsia="en-US" w:bidi="ar-SA"/>
        </w:rPr>
        <w:t>planavimo iniciatorius</w:t>
      </w:r>
      <w:r>
        <w:rPr>
          <w:rFonts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Direktori</w:t>
      </w:r>
      <w:r>
        <w:rPr>
          <w:rFonts w:eastAsia="Times New Roman" w:cs="Times New Roman" w:ascii="Times New Roman" w:hAnsi="Times New Roman"/>
          <w:color w:val="auto"/>
          <w:kern w:val="0"/>
          <w:sz w:val="24"/>
          <w:szCs w:val="24"/>
          <w:lang w:val="lt-LT" w:eastAsia="en-US" w:bidi="ar-SA"/>
        </w:rPr>
        <w:t xml:space="preserve">us                                                            </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lt-LT" w:eastAsia="en-US" w:bidi="ar-SA"/>
        </w:rPr>
        <w:t>Justas Ruškys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FontStyle13">
    <w:name w:val="Font Style13"/>
    <w:basedOn w:val="DefaultParagraphFont"/>
    <w:qFormat/>
    <w:rPr>
      <w:rFonts w:ascii="Times New Roman" w:hAnsi="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Application>LibreOffice/6.4.1.2$Windows_X86_64 LibreOffice_project/4d224e95b98b138af42a64d84056446d09082932</Application>
  <Pages>1</Pages>
  <Words>224</Words>
  <Characters>1610</Characters>
  <CharactersWithSpaces>1966</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2021-09-28T11:37:24Z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