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81C3" w14:textId="5173B972" w:rsidR="002A5070" w:rsidRDefault="00BA21F9">
      <w:pPr>
        <w:ind w:firstLine="5387"/>
        <w:jc w:val="both"/>
        <w:rPr>
          <w:szCs w:val="24"/>
        </w:rPr>
      </w:pPr>
      <w:r>
        <w:rPr>
          <w:szCs w:val="24"/>
        </w:rPr>
        <w:t>PATVIRTINTA</w:t>
      </w:r>
    </w:p>
    <w:p w14:paraId="6030EFAD" w14:textId="77777777" w:rsidR="002A5070" w:rsidRDefault="00BA21F9">
      <w:pPr>
        <w:ind w:firstLine="5387"/>
        <w:jc w:val="both"/>
        <w:rPr>
          <w:szCs w:val="24"/>
        </w:rPr>
      </w:pPr>
      <w:r>
        <w:rPr>
          <w:szCs w:val="24"/>
        </w:rPr>
        <w:t>Klaipėdos rajono savivaldybės tarybos</w:t>
      </w:r>
    </w:p>
    <w:p w14:paraId="5067B7E2" w14:textId="77777777" w:rsidR="002A5070" w:rsidRDefault="00BA21F9">
      <w:pPr>
        <w:tabs>
          <w:tab w:val="left" w:pos="4860"/>
        </w:tabs>
        <w:overflowPunct w:val="0"/>
        <w:ind w:firstLine="5387"/>
        <w:rPr>
          <w:szCs w:val="24"/>
        </w:rPr>
      </w:pPr>
      <w:r>
        <w:rPr>
          <w:szCs w:val="24"/>
        </w:rPr>
        <w:t>2022 m. kovo 31 d. sprendimu Nr. T11-104</w:t>
      </w:r>
    </w:p>
    <w:p w14:paraId="3606327E" w14:textId="77777777" w:rsidR="002A5070" w:rsidRDefault="002A5070">
      <w:pPr>
        <w:suppressAutoHyphens/>
        <w:spacing w:line="480" w:lineRule="auto"/>
        <w:rPr>
          <w:rFonts w:ascii="TimesLT" w:hAnsi="TimesLT"/>
          <w:szCs w:val="24"/>
          <w:lang w:eastAsia="ar-SA"/>
        </w:rPr>
      </w:pPr>
    </w:p>
    <w:p w14:paraId="26CBDA00" w14:textId="77777777" w:rsidR="002A5070" w:rsidRDefault="00BA21F9">
      <w:pPr>
        <w:jc w:val="center"/>
        <w:rPr>
          <w:b/>
          <w:bCs/>
          <w:szCs w:val="24"/>
        </w:rPr>
      </w:pPr>
      <w:r>
        <w:rPr>
          <w:b/>
          <w:bCs/>
          <w:szCs w:val="24"/>
        </w:rPr>
        <w:t>VIENKARTINĖS MATERIALINĖS PARAMOS ASMENIMS, PRIIMANTIEMS UKRAINOS GYVENTOJUS  PASITRAUKUSIUS IŠ UKRAINOS DĖL RUSIJOS FEDERACIJOS KARINIŲ VEIKSMŲ UKRAINOJE, SKYRIMO IR MOKĖJIMO KLAIPĖDOS RAJONO SAVIVALDYBĖJE TVARKOS APRAŠAS</w:t>
      </w:r>
    </w:p>
    <w:p w14:paraId="7576FDC0" w14:textId="77777777" w:rsidR="002A5070" w:rsidRDefault="002A5070">
      <w:pPr>
        <w:jc w:val="center"/>
        <w:rPr>
          <w:szCs w:val="24"/>
        </w:rPr>
      </w:pPr>
    </w:p>
    <w:p w14:paraId="70F1A117" w14:textId="77777777" w:rsidR="002A5070" w:rsidRDefault="00BA21F9">
      <w:pPr>
        <w:keepNext/>
        <w:jc w:val="center"/>
        <w:outlineLvl w:val="1"/>
        <w:rPr>
          <w:b/>
          <w:bCs/>
          <w:szCs w:val="24"/>
        </w:rPr>
      </w:pPr>
      <w:r>
        <w:rPr>
          <w:b/>
          <w:bCs/>
          <w:szCs w:val="24"/>
        </w:rPr>
        <w:t>I SKYRIUS</w:t>
      </w:r>
    </w:p>
    <w:p w14:paraId="00BDD064" w14:textId="77777777" w:rsidR="002A5070" w:rsidRDefault="00BA21F9">
      <w:pPr>
        <w:keepNext/>
        <w:jc w:val="center"/>
        <w:outlineLvl w:val="1"/>
        <w:rPr>
          <w:b/>
          <w:bCs/>
          <w:szCs w:val="24"/>
        </w:rPr>
      </w:pPr>
      <w:r>
        <w:rPr>
          <w:b/>
          <w:bCs/>
          <w:szCs w:val="24"/>
        </w:rPr>
        <w:t>BENDROSIOS NUOSTATOS</w:t>
      </w:r>
    </w:p>
    <w:p w14:paraId="0CF04880" w14:textId="77777777" w:rsidR="002A5070" w:rsidRDefault="002A5070">
      <w:pPr>
        <w:jc w:val="center"/>
        <w:rPr>
          <w:b/>
          <w:szCs w:val="24"/>
        </w:rPr>
      </w:pPr>
    </w:p>
    <w:p w14:paraId="791A0481" w14:textId="77777777" w:rsidR="002A5070" w:rsidRDefault="00BA21F9">
      <w:pPr>
        <w:tabs>
          <w:tab w:val="left" w:pos="993"/>
        </w:tabs>
        <w:ind w:firstLine="720"/>
        <w:jc w:val="both"/>
        <w:rPr>
          <w:szCs w:val="24"/>
        </w:rPr>
      </w:pPr>
      <w:r>
        <w:rPr>
          <w:szCs w:val="24"/>
        </w:rPr>
        <w:t>1.</w:t>
      </w:r>
      <w:r>
        <w:rPr>
          <w:szCs w:val="24"/>
        </w:rPr>
        <w:tab/>
        <w:t xml:space="preserve">Vienkartinės materialinės paramos asmenims, priimantiems Ukrainos gyventojus pasitraukusius iš Ukrainos dėl Rusijos Federacijos karinių veiksmų Ukrainoje, skyrimo ir mokėjimo Klaipėdos rajono savivaldybėje </w:t>
      </w:r>
      <w:r>
        <w:rPr>
          <w:szCs w:val="24"/>
          <w:shd w:val="clear" w:color="auto" w:fill="FFFFFF"/>
        </w:rPr>
        <w:t xml:space="preserve">tvarkos </w:t>
      </w:r>
      <w:r>
        <w:rPr>
          <w:szCs w:val="24"/>
          <w:lang w:eastAsia="lt-LT"/>
        </w:rPr>
        <w:t>aprašas</w:t>
      </w:r>
      <w:r>
        <w:rPr>
          <w:b/>
          <w:bCs/>
          <w:szCs w:val="24"/>
          <w:lang w:eastAsia="lt-LT"/>
        </w:rPr>
        <w:t xml:space="preserve"> </w:t>
      </w:r>
      <w:r>
        <w:rPr>
          <w:szCs w:val="24"/>
        </w:rPr>
        <w:t xml:space="preserve">(toliau – Tvarkos aprašas)  nustato vienkartinės materialinės paramos </w:t>
      </w:r>
      <w:r>
        <w:rPr>
          <w:szCs w:val="24"/>
          <w:lang w:eastAsia="lt-LT"/>
        </w:rPr>
        <w:t>iš Klaipėdos rajono savivaldybės (toliau – Savivaldybė) biudžeto lėšų skyrimo atvejus, sąlygas, dydžius ir mokėjimo tvarką.</w:t>
      </w:r>
    </w:p>
    <w:p w14:paraId="762BC26E" w14:textId="77777777" w:rsidR="002A5070" w:rsidRDefault="00BA21F9">
      <w:pPr>
        <w:tabs>
          <w:tab w:val="left" w:pos="993"/>
          <w:tab w:val="right" w:pos="9639"/>
        </w:tabs>
        <w:ind w:firstLine="709"/>
        <w:jc w:val="both"/>
        <w:rPr>
          <w:szCs w:val="24"/>
        </w:rPr>
      </w:pPr>
      <w:r>
        <w:rPr>
          <w:szCs w:val="24"/>
        </w:rPr>
        <w:t>2.</w:t>
      </w:r>
      <w:r>
        <w:rPr>
          <w:szCs w:val="24"/>
        </w:rPr>
        <w:tab/>
        <w:t xml:space="preserve">Vienkartinė materialinė parama skiriama gyvenamąją vietą Klaipėdos rajono savivaldybėje deklaravusiems </w:t>
      </w:r>
      <w:r>
        <w:rPr>
          <w:szCs w:val="24"/>
          <w:lang w:eastAsia="lt-LT"/>
        </w:rPr>
        <w:t xml:space="preserve">Klaipėdos rajono gyventojams, </w:t>
      </w:r>
      <w:r>
        <w:rPr>
          <w:szCs w:val="24"/>
        </w:rPr>
        <w:t xml:space="preserve">Klaipėdos rajone registruotoms </w:t>
      </w:r>
      <w:r>
        <w:rPr>
          <w:bCs/>
          <w:szCs w:val="24"/>
        </w:rPr>
        <w:t xml:space="preserve">ir veiklą vykdančioms </w:t>
      </w:r>
      <w:r>
        <w:rPr>
          <w:szCs w:val="24"/>
        </w:rPr>
        <w:t>nevyriausybinėms ir bendruomeninėms organizacijoms</w:t>
      </w:r>
      <w:r>
        <w:rPr>
          <w:szCs w:val="24"/>
          <w:lang w:eastAsia="lt-LT"/>
        </w:rPr>
        <w:t xml:space="preserve">, juridiniams asmenims (toliau – Paramos gavėjas), kurie laikinai ir neatlygintinai suteikė </w:t>
      </w:r>
      <w:r>
        <w:rPr>
          <w:sz w:val="21"/>
          <w:szCs w:val="21"/>
          <w:shd w:val="clear" w:color="auto" w:fill="FFFFFF"/>
        </w:rPr>
        <w:t>n</w:t>
      </w:r>
      <w:r>
        <w:rPr>
          <w:szCs w:val="24"/>
          <w:lang w:eastAsia="lt-LT"/>
        </w:rPr>
        <w:t>uosavybės teise ar kitais pagrindais valdomą, Klaipėdos rajono teritorijoje esantį nekilnojamąjį turtą, (toliau – būstas) Ukrainos gyventojams, pasitraukusiems iš Ukrainos dėl Rusijos Federacijos karinių veiksmų Ukrainoje (toliau – ukrainiečiai).</w:t>
      </w:r>
    </w:p>
    <w:p w14:paraId="07CEFE69" w14:textId="77777777" w:rsidR="002A5070" w:rsidRDefault="002A5070">
      <w:pPr>
        <w:jc w:val="center"/>
        <w:rPr>
          <w:b/>
          <w:szCs w:val="24"/>
        </w:rPr>
      </w:pPr>
    </w:p>
    <w:p w14:paraId="2B02ACC8" w14:textId="77777777" w:rsidR="002A5070" w:rsidRDefault="00BA21F9">
      <w:pPr>
        <w:jc w:val="center"/>
        <w:rPr>
          <w:b/>
          <w:szCs w:val="24"/>
        </w:rPr>
      </w:pPr>
      <w:r>
        <w:rPr>
          <w:b/>
          <w:szCs w:val="24"/>
        </w:rPr>
        <w:t>II SKYRIUS</w:t>
      </w:r>
    </w:p>
    <w:p w14:paraId="20AB35B2" w14:textId="77777777" w:rsidR="002A5070" w:rsidRDefault="00BA21F9">
      <w:pPr>
        <w:jc w:val="center"/>
        <w:rPr>
          <w:b/>
          <w:szCs w:val="24"/>
        </w:rPr>
      </w:pPr>
      <w:r>
        <w:rPr>
          <w:b/>
          <w:szCs w:val="24"/>
        </w:rPr>
        <w:t>VIENKARTINĖS MATERIALINĖS PARAMOS SKYRIMAS, MOKĖJIMAS IR DYDŽIAI</w:t>
      </w:r>
    </w:p>
    <w:p w14:paraId="6337BA9D" w14:textId="77777777" w:rsidR="002A5070" w:rsidRDefault="002A5070">
      <w:pPr>
        <w:ind w:firstLine="1134"/>
        <w:jc w:val="both"/>
        <w:rPr>
          <w:szCs w:val="24"/>
        </w:rPr>
      </w:pPr>
    </w:p>
    <w:p w14:paraId="6BFF07C7" w14:textId="77777777" w:rsidR="002A5070" w:rsidRDefault="00BA21F9">
      <w:pPr>
        <w:tabs>
          <w:tab w:val="left" w:pos="993"/>
        </w:tabs>
        <w:ind w:firstLine="720"/>
        <w:jc w:val="both"/>
        <w:rPr>
          <w:szCs w:val="24"/>
        </w:rPr>
      </w:pPr>
      <w:r>
        <w:rPr>
          <w:szCs w:val="24"/>
        </w:rPr>
        <w:t>3.</w:t>
      </w:r>
      <w:r>
        <w:rPr>
          <w:szCs w:val="24"/>
        </w:rPr>
        <w:tab/>
        <w:t>Paramos gavėjas dėl vienkartinės materialinės paramos kreipiasi į savo gyvenamosios ar deklaruotos vietos seniūniją arba Savivaldybės Paslaugų ir civilinės metrikacijos skyrių ir pateikia:</w:t>
      </w:r>
    </w:p>
    <w:p w14:paraId="31DA48F7" w14:textId="77777777" w:rsidR="002A5070" w:rsidRDefault="00BA21F9">
      <w:pPr>
        <w:tabs>
          <w:tab w:val="left" w:pos="1134"/>
        </w:tabs>
        <w:ind w:firstLine="709"/>
        <w:jc w:val="both"/>
        <w:rPr>
          <w:szCs w:val="24"/>
        </w:rPr>
      </w:pPr>
      <w:r>
        <w:rPr>
          <w:szCs w:val="24"/>
        </w:rPr>
        <w:t>3.1.</w:t>
      </w:r>
      <w:r>
        <w:rPr>
          <w:szCs w:val="24"/>
        </w:rPr>
        <w:tab/>
        <w:t>Užpildytą prašymo vienkartinei paramai gauti formą, patvirtintą Savivaldybės administracijos direktoriaus įsakymu;</w:t>
      </w:r>
    </w:p>
    <w:p w14:paraId="1E2E0652" w14:textId="77777777" w:rsidR="002A5070" w:rsidRDefault="00BA21F9">
      <w:pPr>
        <w:tabs>
          <w:tab w:val="left" w:pos="1134"/>
        </w:tabs>
        <w:ind w:firstLine="709"/>
        <w:jc w:val="both"/>
        <w:rPr>
          <w:szCs w:val="24"/>
        </w:rPr>
      </w:pPr>
      <w:r>
        <w:rPr>
          <w:szCs w:val="24"/>
        </w:rPr>
        <w:t>3.2.</w:t>
      </w:r>
      <w:r>
        <w:rPr>
          <w:szCs w:val="24"/>
        </w:rPr>
        <w:tab/>
        <w:t>dokumentus, kad laikinai suteiktas būstas Paramos gavėjui priklauso nuosavybės teise ar yra valdomas kitais pagrindais ir yra Klaipėdos rajono teritorijoje (Nekilnojamojo turto registro duomenų išrašas apie turimą nekilnojamą turtą, valdant turtą kitais pagrindais, turto savininko rašytinis sutikimas leisti apgyvendinti ukrainiečius).</w:t>
      </w:r>
    </w:p>
    <w:p w14:paraId="66B5426A" w14:textId="77777777" w:rsidR="002A5070" w:rsidRDefault="00BA21F9">
      <w:pPr>
        <w:tabs>
          <w:tab w:val="left" w:pos="1134"/>
        </w:tabs>
        <w:ind w:firstLine="709"/>
        <w:jc w:val="both"/>
        <w:rPr>
          <w:szCs w:val="24"/>
        </w:rPr>
      </w:pPr>
      <w:r>
        <w:rPr>
          <w:szCs w:val="24"/>
        </w:rPr>
        <w:t>3.3.</w:t>
      </w:r>
      <w:r>
        <w:rPr>
          <w:szCs w:val="24"/>
        </w:rPr>
        <w:tab/>
        <w:t>dokumentus patvirtinančius faktą apie ukrainiečių apgyvendinimą (panaudos sutartis, seniūnijos raštas ir kt.).</w:t>
      </w:r>
    </w:p>
    <w:p w14:paraId="52C1D96A" w14:textId="77777777" w:rsidR="002A5070" w:rsidRDefault="00BA21F9">
      <w:pPr>
        <w:tabs>
          <w:tab w:val="left" w:pos="993"/>
        </w:tabs>
        <w:ind w:firstLine="720"/>
        <w:jc w:val="both"/>
        <w:rPr>
          <w:szCs w:val="24"/>
        </w:rPr>
      </w:pPr>
      <w:r>
        <w:rPr>
          <w:szCs w:val="24"/>
        </w:rPr>
        <w:t>4.</w:t>
      </w:r>
      <w:r>
        <w:rPr>
          <w:szCs w:val="24"/>
        </w:rPr>
        <w:tab/>
        <w:t>Paramos gavėjui vienkartinė materialinė parama teikiama pinigais – 250 Eur už neatlygintinai suteiktą būstą.</w:t>
      </w:r>
    </w:p>
    <w:p w14:paraId="71BE897A" w14:textId="77777777" w:rsidR="002A5070" w:rsidRDefault="00BA21F9">
      <w:pPr>
        <w:tabs>
          <w:tab w:val="left" w:pos="720"/>
          <w:tab w:val="left" w:pos="993"/>
        </w:tabs>
        <w:ind w:firstLine="709"/>
        <w:jc w:val="both"/>
        <w:rPr>
          <w:szCs w:val="24"/>
        </w:rPr>
      </w:pPr>
      <w:r>
        <w:rPr>
          <w:szCs w:val="24"/>
        </w:rPr>
        <w:t>5.</w:t>
      </w:r>
      <w:r>
        <w:rPr>
          <w:szCs w:val="24"/>
        </w:rPr>
        <w:tab/>
        <w:t>Vienkartinė materialinė parama skiriama Savivaldybės administracijos direktoriaus įsakymu, ne vėliau kaip per mėnesį nuo prašymo ir visų reikalingų dokumentų gavimo dienos. Paramos neskyrimo atveju informuojama Savivaldybės administracijos direktoriaus raštu ne vėliau kaip per mėnesį nuo prašymo ir visų reikalingų dokumentų gavimo dienos.</w:t>
      </w:r>
    </w:p>
    <w:p w14:paraId="35AD0296" w14:textId="77777777" w:rsidR="002A5070" w:rsidRDefault="00BA21F9">
      <w:pPr>
        <w:tabs>
          <w:tab w:val="left" w:pos="720"/>
          <w:tab w:val="left" w:pos="993"/>
        </w:tabs>
        <w:ind w:firstLine="709"/>
        <w:jc w:val="both"/>
        <w:rPr>
          <w:szCs w:val="24"/>
        </w:rPr>
      </w:pPr>
      <w:r>
        <w:rPr>
          <w:szCs w:val="24"/>
        </w:rPr>
        <w:t>6.</w:t>
      </w:r>
      <w:r>
        <w:rPr>
          <w:szCs w:val="24"/>
        </w:rPr>
        <w:tab/>
        <w:t xml:space="preserve">Vienkartinę materialinę paramą išmoka Savivaldybės administracijos Centrinė buhalterija, pervesdama lėšas į Paramos gavėjo prašyme nurodytą atsiskaitomąją sąskaitą Lietuvos Respublikos teritorijoje esančiame banke ar banko skyriuje. </w:t>
      </w:r>
    </w:p>
    <w:p w14:paraId="4948F24F" w14:textId="77777777" w:rsidR="002A5070" w:rsidRDefault="00BA21F9">
      <w:pPr>
        <w:shd w:val="clear" w:color="auto" w:fill="FFFFFF"/>
        <w:tabs>
          <w:tab w:val="left" w:pos="993"/>
        </w:tabs>
        <w:ind w:firstLine="709"/>
        <w:jc w:val="both"/>
        <w:rPr>
          <w:szCs w:val="24"/>
        </w:rPr>
      </w:pPr>
      <w:r>
        <w:rPr>
          <w:szCs w:val="24"/>
        </w:rPr>
        <w:t>7.</w:t>
      </w:r>
      <w:r>
        <w:rPr>
          <w:szCs w:val="24"/>
        </w:rPr>
        <w:tab/>
        <w:t xml:space="preserve">Paramos gavėjui negali būti mokama vienkartinė materialinė parama, jeigu būstą </w:t>
      </w:r>
      <w:r>
        <w:rPr>
          <w:szCs w:val="24"/>
          <w:lang w:eastAsia="lt-LT"/>
        </w:rPr>
        <w:t xml:space="preserve">ukrainiečiams suteikė </w:t>
      </w:r>
      <w:r>
        <w:rPr>
          <w:szCs w:val="24"/>
        </w:rPr>
        <w:t>atlygintinai.</w:t>
      </w:r>
    </w:p>
    <w:p w14:paraId="0E8494EC" w14:textId="77777777" w:rsidR="002A5070" w:rsidRDefault="002A5070">
      <w:pPr>
        <w:shd w:val="clear" w:color="auto" w:fill="FFFFFF"/>
        <w:tabs>
          <w:tab w:val="left" w:pos="993"/>
        </w:tabs>
        <w:ind w:left="709"/>
        <w:jc w:val="both"/>
        <w:rPr>
          <w:szCs w:val="24"/>
        </w:rPr>
      </w:pPr>
    </w:p>
    <w:p w14:paraId="0F51DB82" w14:textId="77777777" w:rsidR="002A5070" w:rsidRDefault="002A5070">
      <w:pPr>
        <w:jc w:val="center"/>
        <w:rPr>
          <w:b/>
          <w:szCs w:val="24"/>
        </w:rPr>
      </w:pPr>
    </w:p>
    <w:p w14:paraId="525EBF6D" w14:textId="77777777" w:rsidR="002A5070" w:rsidRDefault="00BA21F9">
      <w:pPr>
        <w:jc w:val="center"/>
        <w:rPr>
          <w:b/>
          <w:szCs w:val="24"/>
        </w:rPr>
      </w:pPr>
      <w:r>
        <w:rPr>
          <w:b/>
          <w:szCs w:val="24"/>
        </w:rPr>
        <w:t xml:space="preserve">III SKYRIUS </w:t>
      </w:r>
    </w:p>
    <w:p w14:paraId="17E29117" w14:textId="77777777" w:rsidR="002A5070" w:rsidRDefault="00BA21F9">
      <w:pPr>
        <w:jc w:val="center"/>
        <w:rPr>
          <w:b/>
          <w:szCs w:val="24"/>
        </w:rPr>
      </w:pPr>
      <w:r>
        <w:rPr>
          <w:b/>
          <w:szCs w:val="24"/>
        </w:rPr>
        <w:t>BAIGIAMOSIOS NUOSTATOS</w:t>
      </w:r>
    </w:p>
    <w:p w14:paraId="69E4E6AF" w14:textId="77777777" w:rsidR="002A5070" w:rsidRDefault="002A5070">
      <w:pPr>
        <w:jc w:val="center"/>
        <w:rPr>
          <w:b/>
          <w:szCs w:val="24"/>
        </w:rPr>
      </w:pPr>
    </w:p>
    <w:p w14:paraId="0D72C4C8" w14:textId="77777777" w:rsidR="002A5070" w:rsidRDefault="00BA21F9">
      <w:pPr>
        <w:tabs>
          <w:tab w:val="right" w:pos="0"/>
        </w:tabs>
        <w:spacing w:line="276" w:lineRule="auto"/>
        <w:ind w:firstLine="720"/>
        <w:jc w:val="both"/>
        <w:rPr>
          <w:szCs w:val="24"/>
        </w:rPr>
      </w:pPr>
      <w:r>
        <w:rPr>
          <w:szCs w:val="24"/>
        </w:rPr>
        <w:t>8. Paramos gavėjas, pateikęs prašymą skirti vienkartinę materialinę paramą, privalo Savivaldybės administracijos atsakingiems specialistams pagal poreikį sudaryti sąlygas patikrinti jo prašyme pateiktas aplinkybes.</w:t>
      </w:r>
    </w:p>
    <w:p w14:paraId="06F3F424" w14:textId="77777777" w:rsidR="002A5070" w:rsidRDefault="00BA21F9">
      <w:pPr>
        <w:tabs>
          <w:tab w:val="right" w:pos="0"/>
        </w:tabs>
        <w:spacing w:line="276" w:lineRule="auto"/>
        <w:ind w:firstLine="720"/>
        <w:jc w:val="both"/>
        <w:rPr>
          <w:szCs w:val="24"/>
        </w:rPr>
      </w:pPr>
      <w:r>
        <w:rPr>
          <w:szCs w:val="24"/>
        </w:rPr>
        <w:t>9. Atliktus šio Tvarkos aprašo 8 punkte minimą patikrinimą ir išaiškėjus, kad parama buvo skirta neteisėtai, Paramos gavėjas privalo lėšas grąžinti į Savivaldybės administracijos nurodytą sąskaitą.</w:t>
      </w:r>
    </w:p>
    <w:p w14:paraId="57E9C77E" w14:textId="77777777" w:rsidR="002A5070" w:rsidRDefault="00BA21F9">
      <w:pPr>
        <w:tabs>
          <w:tab w:val="right" w:pos="0"/>
        </w:tabs>
        <w:spacing w:line="276" w:lineRule="auto"/>
        <w:ind w:firstLine="720"/>
        <w:jc w:val="both"/>
        <w:rPr>
          <w:szCs w:val="24"/>
        </w:rPr>
      </w:pPr>
      <w:r>
        <w:rPr>
          <w:szCs w:val="24"/>
        </w:rPr>
        <w:t>10. Už prašymuose pateiktų duomenų teisingumą atsako Paramos gavėjas.</w:t>
      </w:r>
    </w:p>
    <w:p w14:paraId="3E971260" w14:textId="77777777" w:rsidR="002A5070" w:rsidRDefault="00BA21F9">
      <w:pPr>
        <w:ind w:firstLine="720"/>
        <w:jc w:val="both"/>
        <w:rPr>
          <w:szCs w:val="24"/>
        </w:rPr>
      </w:pPr>
      <w:r>
        <w:rPr>
          <w:szCs w:val="24"/>
        </w:rPr>
        <w:t>11. Sprendimas dėl vienkartinės materialinės paramos skyrimo ar neskyrimo gali būti apskųstas teisės aktų nustatyta tvarka.</w:t>
      </w:r>
    </w:p>
    <w:p w14:paraId="617F3480" w14:textId="198A8B69" w:rsidR="002A5070" w:rsidRDefault="00BA21F9" w:rsidP="00550292">
      <w:pPr>
        <w:ind w:firstLine="720"/>
        <w:jc w:val="both"/>
        <w:rPr>
          <w:szCs w:val="24"/>
        </w:rPr>
      </w:pPr>
      <w:r>
        <w:rPr>
          <w:szCs w:val="24"/>
        </w:rPr>
        <w:t>12. Šio Tvarkos aprašo nuostatos taikomos Paramos gavėjams, kurie laikinai ir neatlygintinai suteikė būstą ukrainiečiams po Rusijos Federacijos karinių veiksmų Ukrainoje pradžios – 2022 m. vasario 24 d.</w:t>
      </w:r>
    </w:p>
    <w:p w14:paraId="776BDB6E" w14:textId="41FF5BD2" w:rsidR="002A5070" w:rsidRDefault="00BA21F9" w:rsidP="00550292">
      <w:pPr>
        <w:jc w:val="center"/>
      </w:pPr>
      <w:r>
        <w:rPr>
          <w:szCs w:val="24"/>
        </w:rPr>
        <w:t>__________________</w:t>
      </w:r>
    </w:p>
    <w:p w14:paraId="1705E5B4" w14:textId="77777777" w:rsidR="002A5070" w:rsidRDefault="002A5070">
      <w:pPr>
        <w:tabs>
          <w:tab w:val="left" w:pos="7650"/>
        </w:tabs>
        <w:jc w:val="both"/>
        <w:rPr>
          <w:szCs w:val="24"/>
        </w:rPr>
      </w:pPr>
    </w:p>
    <w:sectPr w:rsidR="002A5070" w:rsidSect="00550292">
      <w:headerReference w:type="first" r:id="rId7"/>
      <w:pgSz w:w="11907" w:h="16840" w:code="9"/>
      <w:pgMar w:top="1701" w:right="567"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DE61" w14:textId="77777777" w:rsidR="00D401AC" w:rsidRDefault="00D401AC">
      <w:pPr>
        <w:rPr>
          <w:szCs w:val="24"/>
        </w:rPr>
      </w:pPr>
      <w:r>
        <w:rPr>
          <w:szCs w:val="24"/>
        </w:rPr>
        <w:separator/>
      </w:r>
    </w:p>
  </w:endnote>
  <w:endnote w:type="continuationSeparator" w:id="0">
    <w:p w14:paraId="0593629E" w14:textId="77777777" w:rsidR="00D401AC" w:rsidRDefault="00D401A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2E5B" w14:textId="77777777" w:rsidR="00D401AC" w:rsidRDefault="00D401AC">
      <w:pPr>
        <w:rPr>
          <w:szCs w:val="24"/>
        </w:rPr>
      </w:pPr>
      <w:r>
        <w:rPr>
          <w:szCs w:val="24"/>
        </w:rPr>
        <w:separator/>
      </w:r>
    </w:p>
  </w:footnote>
  <w:footnote w:type="continuationSeparator" w:id="0">
    <w:p w14:paraId="301A63D6" w14:textId="77777777" w:rsidR="00D401AC" w:rsidRDefault="00D401AC">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EBC5" w14:textId="77777777" w:rsidR="00550292" w:rsidRPr="00550292" w:rsidRDefault="00550292" w:rsidP="0055029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4FE"/>
    <w:rsid w:val="002A5070"/>
    <w:rsid w:val="00550292"/>
    <w:rsid w:val="006D790F"/>
    <w:rsid w:val="00BA21F9"/>
    <w:rsid w:val="00D401AC"/>
    <w:rsid w:val="00F504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0ED2D"/>
  <w15:docId w15:val="{41706CE5-C0E6-4E55-B1D1-FDB086FA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50292"/>
    <w:rPr>
      <w:color w:val="808080"/>
    </w:rPr>
  </w:style>
  <w:style w:type="paragraph" w:styleId="Antrats">
    <w:name w:val="header"/>
    <w:basedOn w:val="prastasis"/>
    <w:link w:val="AntratsDiagrama"/>
    <w:uiPriority w:val="99"/>
    <w:unhideWhenUsed/>
    <w:rsid w:val="00550292"/>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550292"/>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7003">
      <w:bodyDiv w:val="1"/>
      <w:marLeft w:val="0"/>
      <w:marRight w:val="0"/>
      <w:marTop w:val="0"/>
      <w:marBottom w:val="0"/>
      <w:divBdr>
        <w:top w:val="none" w:sz="0" w:space="0" w:color="auto"/>
        <w:left w:val="none" w:sz="0" w:space="0" w:color="auto"/>
        <w:bottom w:val="none" w:sz="0" w:space="0" w:color="auto"/>
        <w:right w:val="none" w:sz="0" w:space="0" w:color="auto"/>
      </w:divBdr>
      <w:divsChild>
        <w:div w:id="588738916">
          <w:marLeft w:val="0"/>
          <w:marRight w:val="0"/>
          <w:marTop w:val="0"/>
          <w:marBottom w:val="0"/>
          <w:divBdr>
            <w:top w:val="none" w:sz="0" w:space="0" w:color="auto"/>
            <w:left w:val="none" w:sz="0" w:space="0" w:color="auto"/>
            <w:bottom w:val="none" w:sz="0" w:space="0" w:color="auto"/>
            <w:right w:val="none" w:sz="0" w:space="0" w:color="auto"/>
          </w:divBdr>
        </w:div>
        <w:div w:id="840316128">
          <w:marLeft w:val="0"/>
          <w:marRight w:val="0"/>
          <w:marTop w:val="0"/>
          <w:marBottom w:val="0"/>
          <w:divBdr>
            <w:top w:val="none" w:sz="0" w:space="0" w:color="auto"/>
            <w:left w:val="none" w:sz="0" w:space="0" w:color="auto"/>
            <w:bottom w:val="none" w:sz="0" w:space="0" w:color="auto"/>
            <w:right w:val="none" w:sz="0" w:space="0" w:color="auto"/>
          </w:divBdr>
        </w:div>
      </w:divsChild>
    </w:div>
    <w:div w:id="383674043">
      <w:bodyDiv w:val="1"/>
      <w:marLeft w:val="0"/>
      <w:marRight w:val="0"/>
      <w:marTop w:val="0"/>
      <w:marBottom w:val="0"/>
      <w:divBdr>
        <w:top w:val="none" w:sz="0" w:space="0" w:color="auto"/>
        <w:left w:val="none" w:sz="0" w:space="0" w:color="auto"/>
        <w:bottom w:val="none" w:sz="0" w:space="0" w:color="auto"/>
        <w:right w:val="none" w:sz="0" w:space="0" w:color="auto"/>
      </w:divBdr>
    </w:div>
    <w:div w:id="538398423">
      <w:bodyDiv w:val="1"/>
      <w:marLeft w:val="0"/>
      <w:marRight w:val="0"/>
      <w:marTop w:val="0"/>
      <w:marBottom w:val="0"/>
      <w:divBdr>
        <w:top w:val="none" w:sz="0" w:space="0" w:color="auto"/>
        <w:left w:val="none" w:sz="0" w:space="0" w:color="auto"/>
        <w:bottom w:val="none" w:sz="0" w:space="0" w:color="auto"/>
        <w:right w:val="none" w:sz="0" w:space="0" w:color="auto"/>
      </w:divBdr>
    </w:div>
    <w:div w:id="1163621009">
      <w:bodyDiv w:val="1"/>
      <w:marLeft w:val="0"/>
      <w:marRight w:val="0"/>
      <w:marTop w:val="0"/>
      <w:marBottom w:val="0"/>
      <w:divBdr>
        <w:top w:val="none" w:sz="0" w:space="0" w:color="auto"/>
        <w:left w:val="none" w:sz="0" w:space="0" w:color="auto"/>
        <w:bottom w:val="none" w:sz="0" w:space="0" w:color="auto"/>
        <w:right w:val="none" w:sz="0" w:space="0" w:color="auto"/>
      </w:divBdr>
    </w:div>
    <w:div w:id="1832260252">
      <w:bodyDiv w:val="1"/>
      <w:marLeft w:val="0"/>
      <w:marRight w:val="0"/>
      <w:marTop w:val="0"/>
      <w:marBottom w:val="0"/>
      <w:divBdr>
        <w:top w:val="none" w:sz="0" w:space="0" w:color="auto"/>
        <w:left w:val="none" w:sz="0" w:space="0" w:color="auto"/>
        <w:bottom w:val="none" w:sz="0" w:space="0" w:color="auto"/>
        <w:right w:val="none" w:sz="0" w:space="0" w:color="auto"/>
      </w:divBdr>
    </w:div>
    <w:div w:id="214002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18F0B-1ABA-4D6B-88D3-7DA12F46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2467</Words>
  <Characters>1407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Klaipedos rj. savivaldybe</Company>
  <LinksUpToDate>false</LinksUpToDate>
  <CharactersWithSpaces>3867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Egidija Rudytė-Kmitė</cp:lastModifiedBy>
  <cp:revision>2</cp:revision>
  <cp:lastPrinted>2022-01-05T12:08:00Z</cp:lastPrinted>
  <dcterms:created xsi:type="dcterms:W3CDTF">2022-09-06T13:40:00Z</dcterms:created>
  <dcterms:modified xsi:type="dcterms:W3CDTF">2022-09-06T13:40:00Z</dcterms:modified>
</cp:coreProperties>
</file>