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ascii="Times New Roman" w:hAnsi="Times New Roman"/>
          <w:b/>
          <w:bCs/>
          <w:sz w:val="24"/>
          <w:szCs w:val="24"/>
        </w:rPr>
        <w:t>O</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30</w:t>
      </w:r>
      <w:r>
        <w:rPr>
          <w:rFonts w:ascii="Times New Roman" w:hAnsi="Times New Roman"/>
          <w:b/>
          <w:bCs/>
          <w:i w:val="false"/>
          <w:caps w:val="false"/>
          <w:smallCaps w:val="false"/>
          <w:spacing w:val="0"/>
          <w:sz w:val="24"/>
          <w:szCs w:val="24"/>
        </w:rPr>
        <w:t>/000</w:t>
      </w:r>
      <w:r>
        <w:rPr>
          <w:rFonts w:eastAsia="Calibri" w:cs="Times New Roman" w:ascii="Times New Roman" w:hAnsi="Times New Roman"/>
          <w:b/>
          <w:bCs/>
          <w:i w:val="false"/>
          <w:caps w:val="false"/>
          <w:smallCaps w:val="false"/>
          <w:color w:val="auto"/>
          <w:spacing w:val="0"/>
          <w:kern w:val="0"/>
          <w:sz w:val="24"/>
          <w:szCs w:val="24"/>
          <w:lang w:val="lt-LT" w:eastAsia="en-US" w:bidi="ar-SA"/>
        </w:rPr>
        <w:t>4</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3</w:t>
      </w:r>
      <w:r>
        <w:rPr>
          <w:rFonts w:eastAsia="Calibri" w:cs="Times New Roman" w:ascii="Times New Roman" w:hAnsi="Times New Roman"/>
          <w:b/>
          <w:bCs/>
          <w:i w:val="false"/>
          <w:caps w:val="false"/>
          <w:smallCaps w:val="false"/>
          <w:color w:val="auto"/>
          <w:spacing w:val="0"/>
          <w:kern w:val="0"/>
          <w:sz w:val="24"/>
          <w:szCs w:val="24"/>
          <w:lang w:val="lt-LT" w:eastAsia="en-US" w:bidi="ar-SA"/>
        </w:rPr>
        <w:t>55</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JAKŲ</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rPr>
        <w:t>o</w:t>
      </w:r>
      <w:r>
        <w:rPr>
          <w:rFonts w:ascii="Times New Roman" w:hAnsi="Times New Roman"/>
          <w:color w:val="000000"/>
          <w:sz w:val="24"/>
          <w:szCs w:val="24"/>
        </w:rPr>
        <w:t xml:space="preserve"> (kad. Nr. </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30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3</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55</w:t>
      </w:r>
      <w:r>
        <w:rPr>
          <w:rFonts w:ascii="Times New Roman" w:hAnsi="Times New Roman"/>
          <w:color w:val="000000"/>
          <w:sz w:val="24"/>
          <w:szCs w:val="24"/>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Jakų</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detalųjį planą, numatantį pakeisti detali</w:t>
      </w:r>
      <w:r>
        <w:rPr>
          <w:rFonts w:eastAsia="Calibri" w:cs="Times New Roman" w:ascii="Times New Roman" w:hAnsi="Times New Roman"/>
          <w:bCs/>
          <w:color w:val="auto"/>
          <w:kern w:val="0"/>
          <w:sz w:val="24"/>
          <w:szCs w:val="24"/>
          <w:lang w:val="lt-LT" w:eastAsia="en-US" w:bidi="ar-SA"/>
        </w:rPr>
        <w:t>ojo</w:t>
      </w:r>
      <w:r>
        <w:rPr>
          <w:rFonts w:ascii="Times New Roman" w:hAnsi="Times New Roman"/>
          <w:bCs/>
          <w:sz w:val="24"/>
          <w:szCs w:val="24"/>
        </w:rPr>
        <w:t xml:space="preserve"> plano, patvirtinto </w:t>
      </w:r>
      <w:r>
        <w:rPr>
          <w:rFonts w:eastAsia="Arial Unicode MS" w:cs="Times New Roman" w:ascii="Times New Roman" w:hAnsi="Times New Roman"/>
          <w:bCs/>
          <w:color w:val="000000"/>
          <w:kern w:val="0"/>
          <w:sz w:val="24"/>
          <w:szCs w:val="24"/>
          <w:lang w:val="lt-LT" w:eastAsia="en-US" w:bidi="ar-SA"/>
        </w:rPr>
        <w:t>2003-07-18</w:t>
      </w:r>
      <w:r>
        <w:rPr>
          <w:rFonts w:eastAsia="Arial Unicode MS" w:ascii="Times New Roman" w:hAnsi="Times New Roman"/>
          <w:bCs/>
          <w:color w:val="000000"/>
          <w:sz w:val="24"/>
          <w:szCs w:val="24"/>
          <w:lang w:val="lt-LT" w:eastAsia="en-US"/>
        </w:rPr>
        <w:t xml:space="preserve"> Klaipėdos rajono savivaldybės </w:t>
      </w:r>
      <w:r>
        <w:rPr>
          <w:rFonts w:eastAsia="Arial Unicode MS" w:cs="Times New Roman" w:ascii="Times New Roman" w:hAnsi="Times New Roman"/>
          <w:bCs/>
          <w:color w:val="000000"/>
          <w:kern w:val="0"/>
          <w:sz w:val="24"/>
          <w:szCs w:val="24"/>
          <w:lang w:val="lt-LT" w:eastAsia="en-US" w:bidi="ar-SA"/>
        </w:rPr>
        <w:t>administracijos direktoriaus įsakymu Nr.</w:t>
      </w:r>
      <w:r>
        <w:rPr>
          <w:rFonts w:eastAsia="Arial Unicode MS" w:ascii="Times New Roman" w:hAnsi="Times New Roman"/>
          <w:bCs/>
          <w:color w:val="000000"/>
          <w:sz w:val="24"/>
          <w:szCs w:val="24"/>
          <w:lang w:val="lt-LT" w:eastAsia="en-US"/>
        </w:rPr>
        <w:t xml:space="preserve"> </w:t>
      </w:r>
      <w:r>
        <w:rPr>
          <w:rFonts w:eastAsia="Arial Unicode MS" w:cs="Times New Roman" w:ascii="Times New Roman" w:hAnsi="Times New Roman"/>
          <w:bCs/>
          <w:color w:val="000000"/>
          <w:kern w:val="0"/>
          <w:sz w:val="24"/>
          <w:szCs w:val="24"/>
          <w:lang w:val="lt-LT" w:eastAsia="en-US" w:bidi="ar-SA"/>
        </w:rPr>
        <w:t>AV-435</w:t>
      </w:r>
      <w:r>
        <w:rPr>
          <w:rFonts w:eastAsia="Arial Unicode MS" w:ascii="Times New Roman" w:hAnsi="Times New Roman"/>
          <w:bCs/>
          <w:color w:val="000000"/>
          <w:sz w:val="24"/>
          <w:szCs w:val="24"/>
          <w:lang w:val="lt-LT" w:eastAsia="en-US"/>
        </w:rPr>
        <w:t xml:space="preserve"> (reg. Nr. 00355300</w:t>
      </w:r>
      <w:r>
        <w:rPr>
          <w:rFonts w:eastAsia="Arial Unicode MS" w:cs="Times New Roman" w:ascii="Times New Roman" w:hAnsi="Times New Roman"/>
          <w:bCs/>
          <w:color w:val="000000"/>
          <w:kern w:val="0"/>
          <w:sz w:val="24"/>
          <w:szCs w:val="24"/>
          <w:lang w:val="lt-LT" w:eastAsia="en-US" w:bidi="ar-SA"/>
        </w:rPr>
        <w:t>0445</w:t>
      </w:r>
      <w:r>
        <w:rPr>
          <w:rFonts w:eastAsia="Arial Unicode MS" w:ascii="Times New Roman" w:hAnsi="Times New Roman"/>
          <w:bCs/>
          <w:color w:val="000000"/>
          <w:sz w:val="24"/>
          <w:szCs w:val="24"/>
          <w:lang w:val="lt-LT" w:eastAsia="en-US"/>
        </w:rPr>
        <w:t>)</w:t>
      </w:r>
      <w:r>
        <w:rPr>
          <w:rFonts w:ascii="Times New Roman" w:hAnsi="Times New Roman"/>
          <w:bCs/>
          <w:sz w:val="24"/>
          <w:szCs w:val="24"/>
        </w:rPr>
        <w:t xml:space="preserve"> sprendinius (planavimo tikslai – </w:t>
      </w:r>
      <w:r>
        <w:rPr>
          <w:rFonts w:ascii="Times New Roman" w:hAnsi="Times New Roman"/>
          <w:bCs/>
          <w:sz w:val="24"/>
          <w:szCs w:val="24"/>
        </w:rPr>
        <w:t xml:space="preserve">pakeisti žemės sklypo paskirtį į kitą, </w:t>
      </w:r>
      <w:r>
        <w:rPr>
          <w:rFonts w:ascii="Times New Roman" w:hAnsi="Times New Roman"/>
          <w:b w:val="false"/>
          <w:bCs/>
          <w:i w:val="false"/>
          <w:caps w:val="false"/>
          <w:smallCaps w:val="false"/>
          <w:spacing w:val="0"/>
          <w:sz w:val="24"/>
          <w:szCs w:val="24"/>
          <w:u w:val="none"/>
        </w:rPr>
        <w:t xml:space="preserve">žemės </w:t>
      </w:r>
      <w:r>
        <w:rPr>
          <w:rFonts w:ascii="Times New Roman" w:hAnsi="Times New Roman"/>
          <w:b w:val="false"/>
          <w:bCs/>
          <w:i w:val="false"/>
          <w:caps w:val="false"/>
          <w:smallCaps w:val="false"/>
          <w:spacing w:val="0"/>
          <w:sz w:val="24"/>
          <w:szCs w:val="24"/>
          <w:u w:val="none"/>
        </w:rPr>
        <w:t>sklypui nustatyti naudojimo būdą pramonės ir sandėliavimo objektų teritorijos. Nustatyti tvarkymo ir naudojimo režimo reglamentus. Esant būtinumui suplanuoti susisiekimo ir inžinerinių tinklų koridorių teritorijas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ascii="Times New Roman" w:hAnsi="Times New Roman"/>
          <w:sz w:val="24"/>
          <w:szCs w:val="24"/>
        </w:rPr>
        <w:t>Direktorius                                                                                                             Artūras Bogdanovas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Application>LibreOffice/6.4.1.2$Windows_X86_64 LibreOffice_project/4d224e95b98b138af42a64d84056446d09082932</Application>
  <Pages>1</Pages>
  <Words>238</Words>
  <Characters>1708</Characters>
  <CharactersWithSpaces>2068</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2021-04-20T10:47:12Z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