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O</w:t>
      </w:r>
      <w:r>
        <w:rPr>
          <w:rFonts w:cs="Times New Roman" w:ascii="Times New Roman" w:hAnsi="Times New Roman"/>
          <w:b/>
          <w:bCs/>
          <w:color w:val="000000"/>
          <w:sz w:val="24"/>
          <w:szCs w:val="24"/>
        </w:rPr>
        <w:t xml:space="preserve"> (KAD. NR. </w:t>
      </w:r>
      <w:r>
        <w:rPr>
          <w:rFonts w:eastAsia="Calibri" w:cs="Times New Roman" w:ascii="Times New Roman" w:hAnsi="Times New Roman"/>
          <w:b/>
          <w:bCs/>
          <w:i w:val="false"/>
          <w:caps w:val="false"/>
          <w:smallCaps w:val="false"/>
          <w:color w:val="000000"/>
          <w:spacing w:val="0"/>
          <w:kern w:val="0"/>
          <w:sz w:val="24"/>
          <w:szCs w:val="24"/>
          <w:lang w:val="lt-LT" w:eastAsia="en-US" w:bidi="ar-SA"/>
        </w:rPr>
        <w:t>55</w:t>
      </w:r>
      <w:r>
        <w:rPr>
          <w:rFonts w:eastAsia="Calibri" w:cs="Times New Roman" w:ascii="Times New Roman" w:hAnsi="Times New Roman"/>
          <w:b/>
          <w:bCs/>
          <w:i w:val="false"/>
          <w:caps w:val="false"/>
          <w:smallCaps w:val="false"/>
          <w:color w:val="000000"/>
          <w:spacing w:val="0"/>
          <w:kern w:val="0"/>
          <w:sz w:val="24"/>
          <w:szCs w:val="24"/>
          <w:lang w:val="lt-LT" w:eastAsia="en-US" w:bidi="ar-SA"/>
        </w:rPr>
        <w:t>30</w:t>
      </w:r>
      <w:r>
        <w:rPr>
          <w:rFonts w:eastAsia="Calibri" w:cs="Times New Roman" w:ascii="Times New Roman" w:hAnsi="Times New Roman"/>
          <w:b/>
          <w:bCs/>
          <w:i w:val="false"/>
          <w:caps w:val="false"/>
          <w:smallCaps w:val="false"/>
          <w:color w:val="000000"/>
          <w:spacing w:val="0"/>
          <w:kern w:val="0"/>
          <w:sz w:val="24"/>
          <w:szCs w:val="24"/>
          <w:lang w:val="lt-LT" w:eastAsia="en-US" w:bidi="ar-SA"/>
        </w:rPr>
        <w:t>/000</w:t>
      </w:r>
      <w:r>
        <w:rPr>
          <w:rFonts w:eastAsia="Calibri" w:cs="Times New Roman" w:ascii="Times New Roman" w:hAnsi="Times New Roman"/>
          <w:b/>
          <w:bCs/>
          <w:i w:val="false"/>
          <w:caps w:val="false"/>
          <w:smallCaps w:val="false"/>
          <w:color w:val="000000"/>
          <w:spacing w:val="0"/>
          <w:kern w:val="0"/>
          <w:sz w:val="24"/>
          <w:szCs w:val="24"/>
          <w:lang w:val="lt-LT" w:eastAsia="en-US" w:bidi="ar-SA"/>
        </w:rPr>
        <w:t>4</w:t>
      </w:r>
      <w:r>
        <w:rPr>
          <w:rFonts w:eastAsia="Calibri" w:cs="Times New Roman" w:ascii="Times New Roman" w:hAnsi="Times New Roman"/>
          <w:b/>
          <w:bCs/>
          <w:i w:val="false"/>
          <w:caps w:val="false"/>
          <w:smallCaps w:val="false"/>
          <w:color w:val="000000"/>
          <w:spacing w:val="0"/>
          <w:kern w:val="0"/>
          <w:sz w:val="24"/>
          <w:szCs w:val="24"/>
          <w:lang w:val="lt-LT" w:eastAsia="en-US" w:bidi="ar-SA"/>
        </w:rPr>
        <w:t>:</w:t>
      </w:r>
      <w:r>
        <w:rPr>
          <w:rFonts w:eastAsia="Calibri" w:cs="Times New Roman" w:ascii="Times New Roman" w:hAnsi="Times New Roman"/>
          <w:b/>
          <w:bCs/>
          <w:i w:val="false"/>
          <w:caps w:val="false"/>
          <w:smallCaps w:val="false"/>
          <w:color w:val="000000"/>
          <w:spacing w:val="0"/>
          <w:kern w:val="0"/>
          <w:sz w:val="24"/>
          <w:szCs w:val="24"/>
          <w:lang w:val="lt-LT" w:eastAsia="en-US" w:bidi="ar-SA"/>
        </w:rPr>
        <w:t>436</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JAKŲ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o</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55</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30</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4</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436</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Jakų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(schema pridedama)</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detaliojo plano, reg. Nr. </w:t>
      </w:r>
      <w:r>
        <w:rPr>
          <w:rFonts w:eastAsia="Times New Roman" w:cs="Times New Roman" w:ascii="Times New Roman" w:hAnsi="Times New Roman"/>
          <w:bCs/>
          <w:color w:val="auto"/>
          <w:kern w:val="0"/>
          <w:sz w:val="24"/>
          <w:szCs w:val="24"/>
          <w:lang w:val="lt-LT" w:eastAsia="en-US" w:bidi="ar-SA"/>
        </w:rPr>
        <w:t>003553001276,</w:t>
      </w:r>
      <w:r>
        <w:rPr>
          <w:rFonts w:cs="Times New Roman" w:ascii="Times New Roman" w:hAnsi="Times New Roman"/>
          <w:bCs/>
          <w:sz w:val="24"/>
          <w:szCs w:val="24"/>
        </w:rPr>
        <w:t xml:space="preserve"> sprendinius (planavimo tikslai –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prijungti įsiterpusį </w:t>
      </w:r>
      <w:r>
        <w:rPr>
          <w:rFonts w:eastAsia="Times New Roman" w:cs="Times New Roman" w:ascii="Times New Roman" w:hAnsi="Times New Roman"/>
          <w:b w:val="false"/>
          <w:bCs/>
          <w:i w:val="false"/>
          <w:caps w:val="false"/>
          <w:smallCaps w:val="false"/>
          <w:color w:val="auto"/>
          <w:spacing w:val="0"/>
          <w:kern w:val="0"/>
          <w:sz w:val="24"/>
          <w:szCs w:val="24"/>
          <w:lang w:val="lt-LT" w:eastAsia="en-US" w:bidi="ar-SA"/>
        </w:rPr>
        <w:t>laisvos valstybinės žemės plotą</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 prie esamo sklypo. Nustatyti teritorijos naudojimo režimo reglamentus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Application>LibreOffice/6.4.1.2$Windows_X86_64 LibreOffice_project/4d224e95b98b138af42a64d84056446d09082932</Application>
  <Pages>1</Pages>
  <Words>213</Words>
  <Characters>1510</Characters>
  <CharactersWithSpaces>1854</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2022-04-11T09:09:15Z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