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5C9A" w14:textId="77777777" w:rsidR="0042348E" w:rsidRPr="006C03F3" w:rsidRDefault="0042348E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C03F3">
        <w:rPr>
          <w:rFonts w:ascii="Times New Roman" w:hAnsi="Times New Roman" w:cs="Times New Roman"/>
          <w:b/>
          <w:bCs/>
          <w:sz w:val="24"/>
          <w:szCs w:val="24"/>
          <w:u w:val="single"/>
        </w:rPr>
        <w:t>GARGŽDŲ LOPŠELIS-DARŽELIS „SAULUTĖ“</w:t>
      </w:r>
    </w:p>
    <w:p w14:paraId="697B5AD5" w14:textId="77777777" w:rsidR="002F5773" w:rsidRDefault="002F5773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švietimo įstaigos pavadinimas)</w:t>
      </w:r>
    </w:p>
    <w:p w14:paraId="3C5883E2" w14:textId="77777777" w:rsidR="00BF44A1" w:rsidRPr="002F5773" w:rsidRDefault="00BF44A1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C83B29" w14:textId="30D100F7" w:rsidR="002F5773" w:rsidRPr="00BF44A1" w:rsidRDefault="006C03F3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C03F3">
        <w:rPr>
          <w:rFonts w:ascii="Times New Roman" w:hAnsi="Times New Roman" w:cs="Times New Roman"/>
          <w:b/>
          <w:bCs/>
          <w:sz w:val="24"/>
          <w:szCs w:val="24"/>
          <w:u w:val="single"/>
        </w:rPr>
        <w:t>LINA PETRAUSKIENĖ</w:t>
      </w:r>
    </w:p>
    <w:p w14:paraId="5E92675D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(švietimo įstaigos vadovo vardas ir pavardė)</w:t>
      </w:r>
    </w:p>
    <w:p w14:paraId="319441F6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FB358C7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14:paraId="3E619F0A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1F06D1" w14:textId="17AEF7EF" w:rsidR="002F5773" w:rsidRPr="002F5773" w:rsidRDefault="00872D77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D77">
        <w:rPr>
          <w:rFonts w:ascii="Times New Roman" w:hAnsi="Times New Roman" w:cs="Times New Roman"/>
          <w:sz w:val="24"/>
          <w:szCs w:val="24"/>
          <w:u w:val="single"/>
        </w:rPr>
        <w:t xml:space="preserve">2020 m. </w:t>
      </w:r>
      <w:r w:rsidR="00DE1C4D">
        <w:rPr>
          <w:rFonts w:ascii="Times New Roman" w:hAnsi="Times New Roman" w:cs="Times New Roman"/>
          <w:sz w:val="24"/>
          <w:szCs w:val="24"/>
          <w:u w:val="single"/>
        </w:rPr>
        <w:t xml:space="preserve">kovo      </w:t>
      </w:r>
      <w:r w:rsidRPr="00872D77">
        <w:rPr>
          <w:rFonts w:ascii="Times New Roman" w:hAnsi="Times New Roman" w:cs="Times New Roman"/>
          <w:sz w:val="24"/>
          <w:szCs w:val="24"/>
          <w:u w:val="single"/>
        </w:rPr>
        <w:t xml:space="preserve"> d.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Nr. </w:t>
      </w:r>
      <w:r w:rsidRPr="00872D77">
        <w:rPr>
          <w:rFonts w:ascii="Times New Roman" w:hAnsi="Times New Roman" w:cs="Times New Roman"/>
          <w:sz w:val="24"/>
          <w:szCs w:val="24"/>
          <w:u w:val="single"/>
        </w:rPr>
        <w:t>T27-</w:t>
      </w:r>
    </w:p>
    <w:p w14:paraId="3B556501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(data)</w:t>
      </w:r>
    </w:p>
    <w:p w14:paraId="5610B27A" w14:textId="08F487C7" w:rsidR="002F5773" w:rsidRPr="00F70C91" w:rsidRDefault="00072708" w:rsidP="002F5773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70C91">
        <w:rPr>
          <w:rFonts w:ascii="Times New Roman" w:hAnsi="Times New Roman" w:cs="Times New Roman"/>
          <w:sz w:val="24"/>
          <w:szCs w:val="24"/>
          <w:u w:val="single"/>
        </w:rPr>
        <w:t>Gargždai</w:t>
      </w:r>
    </w:p>
    <w:p w14:paraId="599BC75D" w14:textId="77777777" w:rsidR="002F5773" w:rsidRPr="002F5773" w:rsidRDefault="002F5773" w:rsidP="002F5773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(sudarymo vieta)</w:t>
      </w:r>
    </w:p>
    <w:p w14:paraId="743ABD62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048EC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07A4400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KITŲ METŲ VEIKLOS UŽDUOTYS, REZULTATAI IR RODIKLIAI</w:t>
      </w:r>
    </w:p>
    <w:p w14:paraId="5D8F8BAA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DE687" w14:textId="77777777" w:rsidR="002F5773" w:rsidRPr="002F5773" w:rsidRDefault="002F5773" w:rsidP="002F5773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9. Kitų metų užduotys</w:t>
      </w:r>
    </w:p>
    <w:p w14:paraId="4FB1A6DA" w14:textId="77777777" w:rsidR="002F5773" w:rsidRPr="002F5773" w:rsidRDefault="002F5773" w:rsidP="002F5773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(nustatomos ne mažiau kaip 3 ir ne daugiau kaip 5 užduotys)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792"/>
        <w:gridCol w:w="3377"/>
      </w:tblGrid>
      <w:tr w:rsidR="002F5773" w:rsidRPr="002F5773" w14:paraId="05758D82" w14:textId="77777777" w:rsidTr="00DC634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E2EB" w14:textId="77777777" w:rsidR="002F5773" w:rsidRPr="006C03F3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3686" w14:textId="77777777" w:rsidR="002F5773" w:rsidRPr="006C03F3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94E9" w14:textId="77777777" w:rsidR="002F5773" w:rsidRPr="006C03F3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DC6347" w:rsidRPr="002F5773" w14:paraId="08CAFDA9" w14:textId="77777777" w:rsidTr="00646A5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660F" w14:textId="59F9F86B" w:rsidR="00DC6347" w:rsidRPr="00646A5A" w:rsidRDefault="00646A5A" w:rsidP="00646A5A">
            <w:pPr>
              <w:pStyle w:val="Sraopastraipa"/>
              <w:tabs>
                <w:tab w:val="left" w:pos="90"/>
                <w:tab w:val="left" w:pos="567"/>
              </w:tabs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>Užtikrinti ugdymo proceso kokybę</w:t>
            </w:r>
            <w:r w:rsidR="002C4E65" w:rsidRPr="00646A5A">
              <w:rPr>
                <w:rFonts w:ascii="Times New Roman" w:hAnsi="Times New Roman"/>
                <w:sz w:val="24"/>
                <w:szCs w:val="24"/>
              </w:rPr>
              <w:t xml:space="preserve"> įgyvendinant STEM metodiką.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8E9" w14:textId="77777777" w:rsidR="00DC6347" w:rsidRPr="00646A5A" w:rsidRDefault="00DC6347" w:rsidP="00646A5A">
            <w:pPr>
              <w:ind w:right="63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>Įstaigoje ugdymas organizuojamas vadovaujantis šiuolaikine kokybiško ikimokyklinio ugdymo samprata.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39B" w14:textId="77777777" w:rsidR="00DC6347" w:rsidRPr="00646A5A" w:rsidRDefault="00DC6347" w:rsidP="00646A5A">
            <w:pPr>
              <w:ind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>Stebėta, analizuota 60 proc. pedagogių ugdomosios veiklos, organizavimo</w:t>
            </w:r>
            <w:r w:rsidR="00FE0363" w:rsidRPr="00646A5A">
              <w:rPr>
                <w:rFonts w:ascii="Times New Roman" w:hAnsi="Times New Roman"/>
                <w:sz w:val="24"/>
                <w:szCs w:val="24"/>
              </w:rPr>
              <w:t>, planavimo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 xml:space="preserve"> kokybė. Apibendrinti rezultatai aptarti pedagogų tarybos posėdyje, numatytos tobulinimo gairės (iki</w:t>
            </w:r>
            <w:r w:rsidR="00FE0363" w:rsidRPr="00646A5A">
              <w:rPr>
                <w:rFonts w:ascii="Times New Roman" w:hAnsi="Times New Roman"/>
                <w:sz w:val="24"/>
                <w:szCs w:val="24"/>
              </w:rPr>
              <w:t xml:space="preserve"> 2020 m.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 xml:space="preserve"> gruodžio 21 d.).</w:t>
            </w:r>
          </w:p>
        </w:tc>
      </w:tr>
      <w:tr w:rsidR="00DC6347" w:rsidRPr="002F5773" w14:paraId="35848409" w14:textId="77777777" w:rsidTr="00646A5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99C" w14:textId="4593666C" w:rsidR="00DC6347" w:rsidRPr="00646A5A" w:rsidRDefault="00793376" w:rsidP="00646A5A">
            <w:pPr>
              <w:pStyle w:val="Sraopastraipa"/>
              <w:tabs>
                <w:tab w:val="left" w:pos="-142"/>
                <w:tab w:val="left" w:pos="426"/>
                <w:tab w:val="left" w:pos="1215"/>
                <w:tab w:val="left" w:pos="1418"/>
              </w:tabs>
              <w:ind w:left="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>9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 xml:space="preserve">.2. Suburti įstaigos bendruomenę 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 xml:space="preserve">grupių ir 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>lauko edukacinių erdvių pertvarkymui ir turtinimui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 xml:space="preserve"> įgyvendinant STEM </w:t>
            </w:r>
            <w:r w:rsidR="002C4E65" w:rsidRPr="00646A5A">
              <w:rPr>
                <w:rFonts w:ascii="Times New Roman" w:hAnsi="Times New Roman"/>
                <w:sz w:val="24"/>
                <w:szCs w:val="24"/>
              </w:rPr>
              <w:t>metodiką.</w:t>
            </w:r>
          </w:p>
          <w:p w14:paraId="2581BEE0" w14:textId="77777777" w:rsidR="00DC6347" w:rsidRPr="00646A5A" w:rsidRDefault="00DC6347" w:rsidP="00646A5A">
            <w:pPr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BBF" w14:textId="77777777" w:rsidR="00DC6347" w:rsidRPr="00646A5A" w:rsidRDefault="00DC6347" w:rsidP="00646A5A">
            <w:pPr>
              <w:ind w:right="63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 xml:space="preserve">Sudarytos sąlygos </w:t>
            </w:r>
            <w:r w:rsidR="002C4E65" w:rsidRPr="00646A5A">
              <w:rPr>
                <w:rFonts w:ascii="Times New Roman" w:hAnsi="Times New Roman"/>
                <w:sz w:val="24"/>
                <w:szCs w:val="24"/>
              </w:rPr>
              <w:t>šiuolaikinių veiklų organizavimui grupėje ir lauke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>, maksimaliai sumažinta rizika vaikų traumavimuisi.</w:t>
            </w:r>
          </w:p>
          <w:p w14:paraId="575ADD50" w14:textId="77777777" w:rsidR="00DC6347" w:rsidRPr="00646A5A" w:rsidRDefault="00DC6347" w:rsidP="00646A5A">
            <w:pPr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AE0" w14:textId="77777777" w:rsidR="00DC6347" w:rsidRPr="00646A5A" w:rsidRDefault="002C4E65" w:rsidP="00646A5A">
            <w:pPr>
              <w:ind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5A">
              <w:rPr>
                <w:rFonts w:ascii="Times New Roman" w:hAnsi="Times New Roman"/>
                <w:sz w:val="24"/>
                <w:szCs w:val="24"/>
              </w:rPr>
              <w:t>Visose grupėse įrengtos erdvės laboratoriniams bandymams, l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 xml:space="preserve">auko </w:t>
            </w:r>
            <w:r w:rsidR="00AD4E0B" w:rsidRPr="00646A5A">
              <w:rPr>
                <w:rFonts w:ascii="Times New Roman" w:hAnsi="Times New Roman"/>
                <w:sz w:val="24"/>
                <w:szCs w:val="24"/>
              </w:rPr>
              <w:t xml:space="preserve">ir grupių 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 xml:space="preserve">edukacinės erdvės papildytos 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>ugdymo priemonėmis leidžiančios bandyti, patirti eksperimentuoti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>. Rekonstruoti arba pašalinti nesaugūs įrenginiai (vadovaujantis lauko įrenginių patik</w:t>
            </w:r>
            <w:r w:rsidRPr="00646A5A">
              <w:rPr>
                <w:rFonts w:ascii="Times New Roman" w:hAnsi="Times New Roman"/>
                <w:sz w:val="24"/>
                <w:szCs w:val="24"/>
              </w:rPr>
              <w:t xml:space="preserve">ros ataskaita), 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 xml:space="preserve">(iki </w:t>
            </w:r>
            <w:r w:rsidR="00AD4E0B" w:rsidRPr="00646A5A">
              <w:rPr>
                <w:rFonts w:ascii="Times New Roman" w:hAnsi="Times New Roman"/>
                <w:sz w:val="24"/>
                <w:szCs w:val="24"/>
              </w:rPr>
              <w:t xml:space="preserve">2020 m. </w:t>
            </w:r>
            <w:r w:rsidR="00DC6347" w:rsidRPr="00646A5A">
              <w:rPr>
                <w:rFonts w:ascii="Times New Roman" w:hAnsi="Times New Roman"/>
                <w:sz w:val="24"/>
                <w:szCs w:val="24"/>
              </w:rPr>
              <w:t>lapkričio 30 d.</w:t>
            </w:r>
          </w:p>
        </w:tc>
      </w:tr>
      <w:tr w:rsidR="00296665" w:rsidRPr="002F5773" w14:paraId="5327F6EC" w14:textId="77777777" w:rsidTr="00646A5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EF5" w14:textId="7B5DBAAD" w:rsidR="00296665" w:rsidRPr="00646A5A" w:rsidRDefault="00646A5A" w:rsidP="00646A5A">
            <w:pPr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A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296665" w:rsidRPr="00646A5A">
              <w:rPr>
                <w:rFonts w:ascii="Times New Roman" w:hAnsi="Times New Roman" w:cs="Times New Roman"/>
                <w:sz w:val="24"/>
                <w:szCs w:val="24"/>
              </w:rPr>
              <w:t>Užtikrinti sėkmingą naujų vaikų priėmimą ir jų adaptaciją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7C5" w14:textId="1C244E01" w:rsidR="00296665" w:rsidRPr="00646A5A" w:rsidRDefault="00296665" w:rsidP="00646A5A">
            <w:pPr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A">
              <w:rPr>
                <w:rFonts w:ascii="Times New Roman" w:hAnsi="Times New Roman" w:cs="Times New Roman"/>
                <w:sz w:val="24"/>
                <w:szCs w:val="24"/>
              </w:rPr>
              <w:t>Tinkamai pasirengta naujų vaikų priėmimui ir jų adaptacijai</w:t>
            </w:r>
            <w:r w:rsidR="00646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D87" w14:textId="73D6A6B7" w:rsidR="00296665" w:rsidRPr="00646A5A" w:rsidRDefault="00296665" w:rsidP="00646A5A">
            <w:pPr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A">
              <w:rPr>
                <w:rFonts w:ascii="Times New Roman" w:hAnsi="Times New Roman" w:cs="Times New Roman"/>
                <w:sz w:val="24"/>
                <w:szCs w:val="24"/>
              </w:rPr>
              <w:t>Organizuotas informacinis susirinkimas būsimųjų ugdytinių tėvams, pasirašytos sutartys, suformuotos vaikų asmens bylos,  parengti ir su tėvais aptarti vaikų priėmimo ir adaptacijos planai</w:t>
            </w:r>
            <w:r w:rsidR="00646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C4D" w14:paraId="1C5A6D4D" w14:textId="77777777" w:rsidTr="00646A5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BB7" w14:textId="4FF89AA2" w:rsidR="00DE1C4D" w:rsidRPr="00DE1C4D" w:rsidRDefault="00DE1C4D" w:rsidP="00DE1C4D">
            <w:pPr>
              <w:pStyle w:val="TableText"/>
              <w:tabs>
                <w:tab w:val="left" w:pos="225"/>
              </w:tabs>
              <w:ind w:right="63"/>
              <w:jc w:val="both"/>
              <w:rPr>
                <w:lang w:val="lt-LT"/>
              </w:rPr>
            </w:pPr>
            <w:bookmarkStart w:id="1" w:name="_Hlk33446763"/>
            <w:r w:rsidRPr="00211810">
              <w:rPr>
                <w:lang w:val="lt-LT" w:eastAsia="lt-LT"/>
              </w:rPr>
              <w:t xml:space="preserve">9.4. </w:t>
            </w:r>
            <w:bookmarkStart w:id="2" w:name="_Hlk30699321"/>
            <w:r w:rsidRPr="00211810">
              <w:rPr>
                <w:lang w:val="lt-LT" w:eastAsia="lt-LT"/>
              </w:rPr>
              <w:t>Iki 2020 m. birželio 30 d. parengti</w:t>
            </w:r>
            <w:bookmarkStart w:id="3" w:name="_Hlk30699288"/>
            <w:r w:rsidRPr="00211810">
              <w:rPr>
                <w:lang w:val="lt-LT" w:eastAsia="lt-LT"/>
              </w:rPr>
              <w:t xml:space="preserve"> Klaipėdos rajono savivaldybės merui </w:t>
            </w:r>
            <w:bookmarkEnd w:id="3"/>
            <w:r w:rsidRPr="00211810">
              <w:rPr>
                <w:lang w:val="lt-LT" w:eastAsia="lt-LT"/>
              </w:rPr>
              <w:t xml:space="preserve">įstaigos žmogiškųjų resursų, veiklos išlaidų ir valdomos infrastruktūros optimizavimo strategiją ir veiksmų planą, siekiant mažinti įstaigos </w:t>
            </w:r>
            <w:r w:rsidRPr="00211810">
              <w:rPr>
                <w:lang w:val="lt-LT" w:eastAsia="lt-LT"/>
              </w:rPr>
              <w:lastRenderedPageBreak/>
              <w:t>išlaikymui skiriamas biudžeto lėšas.</w:t>
            </w:r>
            <w:bookmarkEnd w:id="2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7F2" w14:textId="0F5116BD" w:rsidR="00DE1C4D" w:rsidRPr="00DE1C4D" w:rsidRDefault="00DE1C4D" w:rsidP="00DE1C4D">
            <w:pPr>
              <w:pStyle w:val="TableText"/>
              <w:ind w:right="63"/>
              <w:jc w:val="both"/>
              <w:rPr>
                <w:lang w:val="lt-LT"/>
              </w:rPr>
            </w:pPr>
            <w:r w:rsidRPr="00211810">
              <w:rPr>
                <w:lang w:val="lt-LT"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AFD" w14:textId="77777777" w:rsidR="00DE1C4D" w:rsidRPr="00211810" w:rsidRDefault="00DE1C4D" w:rsidP="00DE1C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1. Iki 2020 m. liepos 10 d. Klaipėdos rajono savivaldybės merui raštu pateikta infrastruktūros optimizavimo strategija ir veiksmų planas.</w:t>
            </w:r>
          </w:p>
          <w:p w14:paraId="41740E6E" w14:textId="61323CF1" w:rsidR="00DE1C4D" w:rsidRPr="00DE1C4D" w:rsidRDefault="00DE1C4D" w:rsidP="00DE1C4D">
            <w:pPr>
              <w:pStyle w:val="TableText"/>
              <w:tabs>
                <w:tab w:val="left" w:pos="321"/>
              </w:tabs>
              <w:ind w:right="63"/>
              <w:jc w:val="both"/>
              <w:rPr>
                <w:lang w:val="lt-LT"/>
              </w:rPr>
            </w:pPr>
            <w:r w:rsidRPr="00211810">
              <w:rPr>
                <w:lang w:val="lt-LT" w:eastAsia="lt-LT"/>
              </w:rPr>
              <w:t xml:space="preserve">2. Ne mažiau kaip 8 proc. sumažėjusi savivaldybės biudžeto </w:t>
            </w:r>
            <w:r w:rsidRPr="00211810">
              <w:rPr>
                <w:lang w:val="lt-LT" w:eastAsia="lt-LT"/>
              </w:rPr>
              <w:lastRenderedPageBreak/>
              <w:t>lėšų dalis pagal 2020 m. įstaigai patvirtintą biudžetą.</w:t>
            </w:r>
          </w:p>
        </w:tc>
      </w:tr>
      <w:bookmarkEnd w:id="1"/>
      <w:tr w:rsidR="00DE1C4D" w14:paraId="44369F71" w14:textId="77777777" w:rsidTr="00646A5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68F" w14:textId="5F9ADC8B" w:rsidR="00DE1C4D" w:rsidRPr="00646A5A" w:rsidRDefault="00DE1C4D" w:rsidP="00DE1C4D">
            <w:pPr>
              <w:pStyle w:val="TableText"/>
              <w:tabs>
                <w:tab w:val="left" w:pos="225"/>
              </w:tabs>
              <w:ind w:right="63"/>
              <w:jc w:val="both"/>
              <w:rPr>
                <w:lang w:val="lt-LT"/>
              </w:rPr>
            </w:pPr>
            <w:r w:rsidRPr="00646A5A">
              <w:rPr>
                <w:lang w:val="lt-LT"/>
              </w:rPr>
              <w:lastRenderedPageBreak/>
              <w:t>9.5. Aktyviai dalyvauti teikiant paraiškas Europos Sąjungos ar valstybės biudžeto lėšomis finansuojamuose priemonėse.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FA4" w14:textId="77777777" w:rsidR="00DE1C4D" w:rsidRPr="00646A5A" w:rsidRDefault="00DE1C4D" w:rsidP="00DE1C4D">
            <w:pPr>
              <w:pStyle w:val="TableText"/>
              <w:ind w:right="63"/>
              <w:jc w:val="both"/>
              <w:rPr>
                <w:lang w:val="lt-LT"/>
              </w:rPr>
            </w:pPr>
            <w:r w:rsidRPr="00646A5A">
              <w:rPr>
                <w:lang w:val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2A9" w14:textId="77777777" w:rsidR="00DE1C4D" w:rsidRPr="00646A5A" w:rsidRDefault="00DE1C4D" w:rsidP="00DE1C4D">
            <w:pPr>
              <w:pStyle w:val="TableText"/>
              <w:tabs>
                <w:tab w:val="left" w:pos="321"/>
              </w:tabs>
              <w:ind w:right="63"/>
              <w:jc w:val="both"/>
              <w:rPr>
                <w:lang w:val="lt-LT"/>
              </w:rPr>
            </w:pPr>
            <w:r w:rsidRPr="00646A5A">
              <w:rPr>
                <w:lang w:val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65A8FD1D" w14:textId="77777777" w:rsidR="00646A5A" w:rsidRPr="002F5773" w:rsidRDefault="00646A5A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D24C8A" w14:textId="0E6CAFA3" w:rsidR="002F5773" w:rsidRPr="002F5773" w:rsidRDefault="006C03F3" w:rsidP="002F5773">
      <w:pPr>
        <w:tabs>
          <w:tab w:val="left" w:pos="3400"/>
          <w:tab w:val="left" w:pos="56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Savivaldybės meras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Bronius Markauskas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FCF28EA" w14:textId="77777777" w:rsidR="002F5773" w:rsidRPr="002F5773" w:rsidRDefault="002F5773" w:rsidP="002F5773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</w:t>
      </w:r>
      <w:r w:rsidRPr="002F5773">
        <w:rPr>
          <w:rFonts w:ascii="Times New Roman" w:hAnsi="Times New Roman" w:cs="Times New Roman"/>
          <w:color w:val="000000"/>
          <w:sz w:val="24"/>
          <w:szCs w:val="24"/>
        </w:rPr>
        <w:t xml:space="preserve">švietimo įstaigos savininko teises ir </w:t>
      </w:r>
      <w:r w:rsidRPr="002F57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5773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2F5773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2F5773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49619098" w14:textId="77777777" w:rsidR="002F5773" w:rsidRPr="002F5773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5773">
        <w:rPr>
          <w:rFonts w:ascii="Times New Roman" w:hAnsi="Times New Roman" w:cs="Times New Roman"/>
          <w:color w:val="000000"/>
          <w:sz w:val="24"/>
          <w:szCs w:val="24"/>
        </w:rPr>
        <w:t xml:space="preserve">pareigas įgyvendinančios institucijos </w:t>
      </w:r>
    </w:p>
    <w:p w14:paraId="3EF4ED29" w14:textId="77777777" w:rsidR="002F5773" w:rsidRPr="002F5773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color w:val="000000"/>
          <w:sz w:val="24"/>
          <w:szCs w:val="24"/>
        </w:rPr>
        <w:t>(dalininkų susirinkimo) įgalioto asmens</w:t>
      </w:r>
    </w:p>
    <w:p w14:paraId="553B24D8" w14:textId="77777777" w:rsidR="002F5773" w:rsidRPr="002F5773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pareigos)</w:t>
      </w:r>
    </w:p>
    <w:p w14:paraId="59016256" w14:textId="77777777" w:rsidR="002F5773" w:rsidRPr="002F5773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265E5A" w14:textId="008C453B" w:rsidR="002F5773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Susipažinau.</w:t>
      </w:r>
    </w:p>
    <w:p w14:paraId="2048879B" w14:textId="77777777" w:rsidR="006C03F3" w:rsidRPr="002F5773" w:rsidRDefault="006C03F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FE65C1" w14:textId="666ECCE3" w:rsidR="002F5773" w:rsidRPr="002F5773" w:rsidRDefault="006C03F3" w:rsidP="002F5773">
      <w:pPr>
        <w:tabs>
          <w:tab w:val="left" w:pos="3400"/>
          <w:tab w:val="left" w:pos="55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Direktorė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Lina Petrauskienė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9928CC1" w14:textId="77777777" w:rsidR="002F5773" w:rsidRPr="002F5773" w:rsidRDefault="002F5773" w:rsidP="002F5773">
      <w:pPr>
        <w:tabs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 xml:space="preserve">(švietimo įstaigos vadovo pareigos) </w:t>
      </w:r>
      <w:r w:rsidRPr="002F5773">
        <w:rPr>
          <w:rFonts w:ascii="Times New Roman" w:hAnsi="Times New Roman" w:cs="Times New Roman"/>
          <w:sz w:val="24"/>
          <w:szCs w:val="24"/>
        </w:rPr>
        <w:tab/>
        <w:t xml:space="preserve">(parašas) </w:t>
      </w:r>
      <w:r w:rsidRPr="002F5773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2F5773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062EBAAF" w14:textId="77777777" w:rsidR="002F5773" w:rsidRDefault="002F5773" w:rsidP="002F5773">
      <w:pPr>
        <w:tabs>
          <w:tab w:val="left" w:pos="6237"/>
          <w:tab w:val="right" w:pos="8306"/>
        </w:tabs>
        <w:overflowPunct w:val="0"/>
        <w:ind w:firstLine="0"/>
        <w:jc w:val="center"/>
        <w:textAlignment w:val="baseline"/>
        <w:rPr>
          <w:color w:val="000000"/>
        </w:rPr>
      </w:pPr>
      <w:r>
        <w:rPr>
          <w:color w:val="000000"/>
        </w:rPr>
        <w:t>______________</w:t>
      </w:r>
    </w:p>
    <w:p w14:paraId="49BC74B6" w14:textId="77777777" w:rsidR="002F5773" w:rsidRDefault="002F5773" w:rsidP="002F5773">
      <w:pPr>
        <w:tabs>
          <w:tab w:val="left" w:pos="6237"/>
          <w:tab w:val="right" w:pos="8306"/>
        </w:tabs>
        <w:overflowPunct w:val="0"/>
        <w:ind w:firstLine="0"/>
        <w:jc w:val="center"/>
        <w:textAlignment w:val="baseline"/>
        <w:rPr>
          <w:color w:val="000000"/>
        </w:rPr>
      </w:pPr>
    </w:p>
    <w:p w14:paraId="5DD6393D" w14:textId="77777777" w:rsidR="00B35F37" w:rsidRDefault="00B35F37"/>
    <w:sectPr w:rsidR="00B35F37" w:rsidSect="002F5773">
      <w:pgSz w:w="11906" w:h="16838"/>
      <w:pgMar w:top="1134" w:right="680" w:bottom="1134" w:left="181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0225"/>
    <w:multiLevelType w:val="multilevel"/>
    <w:tmpl w:val="D23835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C5777C5"/>
    <w:multiLevelType w:val="hybridMultilevel"/>
    <w:tmpl w:val="9DB0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F73CE"/>
    <w:multiLevelType w:val="multilevel"/>
    <w:tmpl w:val="1B223D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7E84313"/>
    <w:multiLevelType w:val="multilevel"/>
    <w:tmpl w:val="47D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3"/>
    <w:rsid w:val="00072708"/>
    <w:rsid w:val="00296665"/>
    <w:rsid w:val="002C4E65"/>
    <w:rsid w:val="002F5773"/>
    <w:rsid w:val="002F7AA0"/>
    <w:rsid w:val="00321D87"/>
    <w:rsid w:val="00345973"/>
    <w:rsid w:val="003F1D77"/>
    <w:rsid w:val="0042348E"/>
    <w:rsid w:val="004B272D"/>
    <w:rsid w:val="004F5894"/>
    <w:rsid w:val="00507976"/>
    <w:rsid w:val="00565976"/>
    <w:rsid w:val="0058562A"/>
    <w:rsid w:val="00621E95"/>
    <w:rsid w:val="006356E5"/>
    <w:rsid w:val="00646A5A"/>
    <w:rsid w:val="006611B2"/>
    <w:rsid w:val="006867D3"/>
    <w:rsid w:val="006C03F3"/>
    <w:rsid w:val="00713D29"/>
    <w:rsid w:val="00793376"/>
    <w:rsid w:val="0079437B"/>
    <w:rsid w:val="00813003"/>
    <w:rsid w:val="008534DE"/>
    <w:rsid w:val="00872D77"/>
    <w:rsid w:val="008D284F"/>
    <w:rsid w:val="009E280F"/>
    <w:rsid w:val="00AD4E0B"/>
    <w:rsid w:val="00AE6ECE"/>
    <w:rsid w:val="00B35F37"/>
    <w:rsid w:val="00BF4488"/>
    <w:rsid w:val="00BF44A1"/>
    <w:rsid w:val="00CB51D4"/>
    <w:rsid w:val="00D71012"/>
    <w:rsid w:val="00DC6347"/>
    <w:rsid w:val="00DE1C4D"/>
    <w:rsid w:val="00DF6FB9"/>
    <w:rsid w:val="00E54E67"/>
    <w:rsid w:val="00F32B69"/>
    <w:rsid w:val="00F336E6"/>
    <w:rsid w:val="00F36945"/>
    <w:rsid w:val="00F70C91"/>
    <w:rsid w:val="00F77F3C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A2E0"/>
  <w15:docId w15:val="{4971A58D-0552-4B71-AA92-3D3E712A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577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44A1"/>
    <w:pPr>
      <w:overflowPunct w:val="0"/>
      <w:autoSpaceDE w:val="0"/>
      <w:autoSpaceDN w:val="0"/>
      <w:adjustRightInd w:val="0"/>
      <w:ind w:left="720" w:firstLine="0"/>
      <w:contextualSpacing/>
      <w:textAlignment w:val="baseline"/>
    </w:pPr>
    <w:rPr>
      <w:rFonts w:ascii="HelveticaLT" w:hAnsi="HelveticaLT" w:cs="Times New Roman"/>
      <w:lang w:eastAsia="en-US"/>
    </w:rPr>
  </w:style>
  <w:style w:type="table" w:styleId="Lentelstinklelis">
    <w:name w:val="Table Grid"/>
    <w:basedOn w:val="prastojilentel"/>
    <w:uiPriority w:val="39"/>
    <w:rsid w:val="0056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rastasis"/>
    <w:rsid w:val="0058562A"/>
    <w:pPr>
      <w:autoSpaceDE w:val="0"/>
      <w:autoSpaceDN w:val="0"/>
      <w:adjustRightInd w:val="0"/>
      <w:ind w:firstLine="0"/>
      <w:jc w:val="righ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29666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0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00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Ivanauskaitė</dc:creator>
  <cp:keywords/>
  <dc:description/>
  <cp:lastModifiedBy>Dainora Daugeliene</cp:lastModifiedBy>
  <cp:revision>2</cp:revision>
  <cp:lastPrinted>2020-02-24T11:59:00Z</cp:lastPrinted>
  <dcterms:created xsi:type="dcterms:W3CDTF">2020-03-31T18:05:00Z</dcterms:created>
  <dcterms:modified xsi:type="dcterms:W3CDTF">2020-03-31T18:05:00Z</dcterms:modified>
</cp:coreProperties>
</file>