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254"/>
        <w:gridCol w:w="1876"/>
        <w:gridCol w:w="338"/>
        <w:gridCol w:w="3020"/>
        <w:gridCol w:w="39"/>
      </w:tblGrid>
      <w:tr w:rsidR="00DA0125">
        <w:trPr>
          <w:trHeight w:val="2080"/>
        </w:trPr>
        <w:tc>
          <w:tcPr>
            <w:tcW w:w="4235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</w:tr>
      <w:tr w:rsidR="00235869" w:rsidTr="00235869">
        <w:trPr>
          <w:trHeight w:val="303"/>
        </w:trPr>
        <w:tc>
          <w:tcPr>
            <w:tcW w:w="423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2"/>
            </w:tblGrid>
            <w:tr w:rsidR="00DA0125">
              <w:trPr>
                <w:trHeight w:val="265"/>
              </w:trPr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0125" w:rsidRDefault="005E010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SAVIVALDYBĖS BŪSTO NUOMOS MOKESČIO APSKAIČIAVIMAS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 xml:space="preserve">                </w:t>
                  </w:r>
                </w:p>
              </w:tc>
            </w:tr>
          </w:tbl>
          <w:p w:rsidR="00DA0125" w:rsidRDefault="00DA0125">
            <w:pPr>
              <w:spacing w:after="0" w:line="240" w:lineRule="auto"/>
            </w:pPr>
          </w:p>
        </w:tc>
      </w:tr>
      <w:tr w:rsidR="00DA0125">
        <w:trPr>
          <w:trHeight w:val="100"/>
        </w:trPr>
        <w:tc>
          <w:tcPr>
            <w:tcW w:w="4235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</w:tr>
      <w:tr w:rsidR="00235869" w:rsidTr="00235869">
        <w:trPr>
          <w:trHeight w:val="303"/>
        </w:trPr>
        <w:tc>
          <w:tcPr>
            <w:tcW w:w="423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2"/>
            </w:tblGrid>
            <w:tr w:rsidR="00DA0125">
              <w:trPr>
                <w:trHeight w:val="265"/>
              </w:trPr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0125" w:rsidRDefault="00DA0125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A0125" w:rsidRDefault="00DA0125">
            <w:pPr>
              <w:spacing w:after="0" w:line="240" w:lineRule="auto"/>
            </w:pPr>
          </w:p>
        </w:tc>
      </w:tr>
      <w:tr w:rsidR="00DA0125">
        <w:trPr>
          <w:trHeight w:val="280"/>
        </w:trPr>
        <w:tc>
          <w:tcPr>
            <w:tcW w:w="4235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</w:tr>
      <w:tr w:rsidR="00235869" w:rsidTr="00235869">
        <w:trPr>
          <w:trHeight w:val="303"/>
        </w:trPr>
        <w:tc>
          <w:tcPr>
            <w:tcW w:w="423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2"/>
            </w:tblGrid>
            <w:tr w:rsidR="00DA0125">
              <w:trPr>
                <w:trHeight w:val="265"/>
              </w:trPr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0125" w:rsidRDefault="005E010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Savivaldybės būsto adresas </w:t>
                  </w:r>
                  <w:r>
                    <w:rPr>
                      <w:color w:val="000000"/>
                      <w:sz w:val="24"/>
                      <w:u w:val="single"/>
                    </w:rPr>
                    <w:t>Klaipėdos r. sav., Priekulė, Turgaus g. 6</w:t>
                  </w:r>
                </w:p>
                <w:p w:rsidR="00DA0125" w:rsidRDefault="005E010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Apskaičiuotas savivaldybės būsto</w:t>
                  </w:r>
                  <w:r>
                    <w:rPr>
                      <w:b/>
                      <w:color w:val="000000"/>
                      <w:sz w:val="24"/>
                    </w:rPr>
                    <w:t xml:space="preserve"> nuomos mokestis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21,80</w:t>
                  </w:r>
                  <w:r>
                    <w:rPr>
                      <w:b/>
                      <w:color w:val="000000"/>
                      <w:sz w:val="24"/>
                    </w:rPr>
                    <w:t xml:space="preserve"> Eur per mėnesį</w:t>
                  </w:r>
                  <w:r w:rsidR="00516AD2">
                    <w:rPr>
                      <w:b/>
                      <w:color w:val="000000"/>
                      <w:sz w:val="24"/>
                    </w:rPr>
                    <w:t>.</w:t>
                  </w:r>
                  <w:bookmarkStart w:id="0" w:name="_GoBack"/>
                  <w:bookmarkEnd w:id="0"/>
                </w:p>
                <w:p w:rsidR="00DA0125" w:rsidRDefault="005E010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Savivaldybės būsto nuomos mokesčio dydis apskaičiuotas pagal šią formulę:</w:t>
                  </w:r>
                </w:p>
                <w:p w:rsidR="00DA0125" w:rsidRDefault="005E010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N =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</w:t>
                  </w:r>
                  <w:r>
                    <w:rPr>
                      <w:color w:val="000000"/>
                      <w:sz w:val="16"/>
                    </w:rPr>
                    <w:t>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16"/>
                    </w:rPr>
                    <w:t>v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x P 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</w:t>
                  </w:r>
                  <w:r>
                    <w:rPr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x R, kur:</w:t>
                  </w:r>
                </w:p>
                <w:p w:rsidR="00DA0125" w:rsidRDefault="005E0105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4"/>
                    </w:rPr>
                    <w:t>A</w:t>
                  </w:r>
                  <w:r>
                    <w:rPr>
                      <w:color w:val="000000"/>
                      <w:sz w:val="16"/>
                    </w:rPr>
                    <w:t>n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– amortizaciniai atskaitymai nusidėvėjimui atkurti </w:t>
                  </w:r>
                  <w:r>
                    <w:rPr>
                      <w:color w:val="000000"/>
                      <w:sz w:val="24"/>
                      <w:u w:val="single"/>
                    </w:rPr>
                    <w:t>0,4395</w:t>
                  </w:r>
                  <w:r>
                    <w:rPr>
                      <w:color w:val="000000"/>
                      <w:sz w:val="24"/>
                    </w:rPr>
                    <w:t xml:space="preserve"> Eur/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kv.m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per </w:t>
                  </w:r>
                  <w:r>
                    <w:rPr>
                      <w:color w:val="000000"/>
                      <w:sz w:val="24"/>
                    </w:rPr>
                    <w:t xml:space="preserve">mėn., apskaičiuoti pagal šią formulę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=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</w:t>
                  </w:r>
                  <w:r>
                    <w:rPr>
                      <w:color w:val="000000"/>
                      <w:sz w:val="16"/>
                    </w:rPr>
                    <w:t>sv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x h) / (T x 12);</w:t>
                  </w:r>
                </w:p>
                <w:p w:rsidR="00DA0125" w:rsidRDefault="005E0105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4"/>
                    </w:rPr>
                    <w:t>Kv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vietovės pataisos koeficientas pagal turto paskirtį ir jo vietovę, tvirtinamas valstybės įmonės Registrų centro direktoriaus įsakymu </w:t>
                  </w:r>
                  <w:r>
                    <w:rPr>
                      <w:color w:val="000000"/>
                      <w:sz w:val="24"/>
                      <w:u w:val="single"/>
                    </w:rPr>
                    <w:t>0,63</w:t>
                  </w:r>
                  <w:r>
                    <w:rPr>
                      <w:color w:val="000000"/>
                      <w:sz w:val="24"/>
                    </w:rPr>
                    <w:t xml:space="preserve"> (zona </w:t>
                  </w:r>
                  <w:r>
                    <w:rPr>
                      <w:color w:val="000000"/>
                      <w:sz w:val="24"/>
                      <w:u w:val="single"/>
                    </w:rPr>
                    <w:t>21.13</w:t>
                  </w:r>
                  <w:r>
                    <w:rPr>
                      <w:color w:val="000000"/>
                      <w:sz w:val="24"/>
                    </w:rPr>
                    <w:t xml:space="preserve">, paskirtis </w:t>
                  </w:r>
                  <w:r>
                    <w:rPr>
                      <w:color w:val="000000"/>
                      <w:sz w:val="24"/>
                      <w:u w:val="single"/>
                    </w:rPr>
                    <w:t>1-2 butų patalpos</w:t>
                  </w:r>
                  <w:r>
                    <w:rPr>
                      <w:color w:val="000000"/>
                      <w:sz w:val="24"/>
                    </w:rPr>
                    <w:t>);</w:t>
                  </w:r>
                </w:p>
                <w:p w:rsidR="00DA0125" w:rsidRDefault="005E010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 – bū</w:t>
                  </w:r>
                  <w:r>
                    <w:rPr>
                      <w:color w:val="000000"/>
                      <w:sz w:val="24"/>
                    </w:rPr>
                    <w:t xml:space="preserve">sto naudingasis plotas, nustatomas pagal nuomojamo būsto teisinės registracijos duomenis </w:t>
                  </w:r>
                  <w:r>
                    <w:rPr>
                      <w:color w:val="000000"/>
                      <w:sz w:val="24"/>
                      <w:u w:val="single"/>
                    </w:rPr>
                    <w:t>93,72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kv.metrai</w:t>
                  </w:r>
                  <w:proofErr w:type="spellEnd"/>
                  <w:r>
                    <w:rPr>
                      <w:color w:val="000000"/>
                      <w:sz w:val="24"/>
                    </w:rPr>
                    <w:t>;</w:t>
                  </w:r>
                </w:p>
                <w:p w:rsidR="00DA0125" w:rsidRDefault="005E0105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pataisos koeficientas, rodantis būsto būklę (nusidėvėjimą) </w:t>
                  </w:r>
                  <w:r>
                    <w:rPr>
                      <w:color w:val="000000"/>
                      <w:sz w:val="24"/>
                      <w:u w:val="single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(1 – geros būklės  būstas, kurio nusidėvėjimas neviršija 30 procentų.; nuo 1 iki 0,8</w:t>
                  </w:r>
                  <w:r>
                    <w:rPr>
                      <w:color w:val="000000"/>
                      <w:sz w:val="18"/>
                    </w:rPr>
                    <w:t xml:space="preserve"> – patenkinamos būklės būstas, kurio nusidėvėjimas yra nuo 30 iki 60 procentų.; nuo 0,8 iki 0,5 – blogos būklės  būstas, kurio nusidėvėjimas didesnis kaip 60 procentų);</w:t>
                  </w:r>
                  <w:r>
                    <w:rPr>
                      <w:color w:val="000000"/>
                      <w:sz w:val="24"/>
                    </w:rPr>
                    <w:br/>
                  </w:r>
                  <w:proofErr w:type="spellStart"/>
                  <w:r>
                    <w:rPr>
                      <w:color w:val="000000"/>
                      <w:sz w:val="24"/>
                    </w:rPr>
                    <w:t>M</w:t>
                  </w:r>
                  <w:r>
                    <w:rPr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pataisos koeficientas, rodantis būsto aprūpinimą komunaliniais patogumais </w:t>
                  </w:r>
                  <w:r>
                    <w:rPr>
                      <w:color w:val="000000"/>
                      <w:sz w:val="24"/>
                      <w:u w:val="single"/>
                    </w:rPr>
                    <w:t>0,7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(1 –</w:t>
                  </w:r>
                  <w:r>
                    <w:rPr>
                      <w:color w:val="000000"/>
                      <w:sz w:val="18"/>
                    </w:rPr>
                    <w:t xml:space="preserve"> būstas su visais komunaliniais patogumais; 0,9 – būstas bendrabučio tipo pastatuose arba bute su bendrojo naudojimo patalpomis; 0,85 –  būstas, kuriame nėra bent vieno iš šių komunalinių patogumų: vandentiekio, nuotekų šalinimo įrenginių (kanalizacijos), </w:t>
                  </w:r>
                  <w:r>
                    <w:rPr>
                      <w:color w:val="000000"/>
                      <w:sz w:val="18"/>
                    </w:rPr>
                    <w:t>vonios ir (ar) tualeto patalpų, centrinio šildymo, gamtinių dujų įvado ir įvado elektrinei viryklei; 0,7 -būstas, kuriame nėra visų šių komunalinių patogumų: vandentiekio, nuotekų šalinimo įrenginių (kanalizacijos), vonios ir (ar) tualeto patalpų, centrini</w:t>
                  </w:r>
                  <w:r>
                    <w:rPr>
                      <w:color w:val="000000"/>
                      <w:sz w:val="18"/>
                    </w:rPr>
                    <w:t>o šildymo, gamtinių dujų įvado ir (ar) įvado elektrinei viryklei);</w:t>
                  </w:r>
                  <w:r>
                    <w:rPr>
                      <w:color w:val="000000"/>
                      <w:sz w:val="24"/>
                    </w:rPr>
                    <w:br/>
                  </w:r>
                  <w:proofErr w:type="spellStart"/>
                  <w:r>
                    <w:rPr>
                      <w:color w:val="000000"/>
                      <w:sz w:val="24"/>
                    </w:rPr>
                    <w:t>V</w:t>
                  </w:r>
                  <w:r>
                    <w:rPr>
                      <w:color w:val="000000"/>
                      <w:sz w:val="16"/>
                    </w:rPr>
                    <w:t>sv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vidutinė  būsto 1 kub. metro statybos vertė eurais, atsižvelgiant į pastato tūrį, tvirtinama valstybės įmonės Registrų centro direktoriaus įsakymu </w:t>
                  </w:r>
                  <w:r>
                    <w:rPr>
                      <w:color w:val="000000"/>
                      <w:sz w:val="24"/>
                      <w:u w:val="single"/>
                    </w:rPr>
                    <w:t>175,8</w:t>
                  </w:r>
                  <w:r>
                    <w:rPr>
                      <w:color w:val="000000"/>
                      <w:sz w:val="24"/>
                    </w:rPr>
                    <w:t xml:space="preserve"> Eur/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kub.m</w:t>
                  </w:r>
                  <w:proofErr w:type="spellEnd"/>
                  <w:r>
                    <w:rPr>
                      <w:color w:val="000000"/>
                      <w:sz w:val="24"/>
                    </w:rPr>
                    <w:t>;</w:t>
                  </w:r>
                  <w:r>
                    <w:rPr>
                      <w:color w:val="000000"/>
                      <w:sz w:val="24"/>
                    </w:rPr>
                    <w:br/>
                    <w:t>h - būstui taikomas</w:t>
                  </w:r>
                  <w:r>
                    <w:rPr>
                      <w:color w:val="000000"/>
                      <w:sz w:val="24"/>
                    </w:rPr>
                    <w:t xml:space="preserve"> aukščio koeficientas </w:t>
                  </w:r>
                  <w:r>
                    <w:rPr>
                      <w:color w:val="000000"/>
                      <w:sz w:val="24"/>
                      <w:u w:val="single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;</w:t>
                  </w:r>
                  <w:r>
                    <w:rPr>
                      <w:color w:val="000000"/>
                      <w:sz w:val="24"/>
                    </w:rPr>
                    <w:br/>
                    <w:t xml:space="preserve">T – amortizacinių atskaitymų normatyvas pastato nusidėvėjimui atkurti </w:t>
                  </w:r>
                  <w:r>
                    <w:rPr>
                      <w:color w:val="000000"/>
                      <w:sz w:val="24"/>
                      <w:u w:val="single"/>
                    </w:rPr>
                    <w:t>100</w:t>
                  </w:r>
                  <w:r>
                    <w:rPr>
                      <w:color w:val="000000"/>
                      <w:sz w:val="24"/>
                    </w:rPr>
                    <w:t xml:space="preserve"> metai;</w:t>
                  </w:r>
                  <w:r>
                    <w:rPr>
                      <w:color w:val="000000"/>
                      <w:sz w:val="24"/>
                    </w:rPr>
                    <w:br/>
                    <w:t>12 – mėnesių skaičius metuose;</w:t>
                  </w:r>
                  <w:r>
                    <w:rPr>
                      <w:color w:val="000000"/>
                      <w:sz w:val="24"/>
                    </w:rPr>
                    <w:br/>
                    <w:t xml:space="preserve">R - savivaldybės tarybos nustatomas rinkos pataisos koeficientas (socialiniam būstui netaikomas) </w:t>
                  </w:r>
                  <w:r>
                    <w:rPr>
                      <w:color w:val="000000"/>
                      <w:sz w:val="24"/>
                      <w:u w:val="single"/>
                    </w:rPr>
                    <w:t>1,2</w:t>
                  </w:r>
                  <w:r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br/>
                  </w:r>
                </w:p>
              </w:tc>
            </w:tr>
          </w:tbl>
          <w:p w:rsidR="00DA0125" w:rsidRDefault="00DA0125">
            <w:pPr>
              <w:spacing w:after="0" w:line="240" w:lineRule="auto"/>
            </w:pPr>
          </w:p>
        </w:tc>
      </w:tr>
      <w:tr w:rsidR="00DA0125">
        <w:trPr>
          <w:trHeight w:val="280"/>
        </w:trPr>
        <w:tc>
          <w:tcPr>
            <w:tcW w:w="4235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</w:tr>
      <w:tr w:rsidR="00DA0125">
        <w:trPr>
          <w:trHeight w:val="255"/>
        </w:trPr>
        <w:tc>
          <w:tcPr>
            <w:tcW w:w="42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5"/>
            </w:tblGrid>
            <w:tr w:rsidR="00DA0125">
              <w:trPr>
                <w:trHeight w:val="217"/>
              </w:trPr>
              <w:tc>
                <w:tcPr>
                  <w:tcW w:w="4235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0125" w:rsidRDefault="00DA0125">
                  <w:pPr>
                    <w:spacing w:after="0" w:line="240" w:lineRule="auto"/>
                  </w:pPr>
                </w:p>
              </w:tc>
            </w:tr>
          </w:tbl>
          <w:p w:rsidR="00DA0125" w:rsidRDefault="00DA0125">
            <w:pPr>
              <w:spacing w:after="0" w:line="240" w:lineRule="auto"/>
            </w:pPr>
          </w:p>
        </w:tc>
        <w:tc>
          <w:tcPr>
            <w:tcW w:w="254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6"/>
            </w:tblGrid>
            <w:tr w:rsidR="00DA0125">
              <w:trPr>
                <w:trHeight w:val="217"/>
              </w:trPr>
              <w:tc>
                <w:tcPr>
                  <w:tcW w:w="1876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0125" w:rsidRDefault="00DA0125">
                  <w:pPr>
                    <w:spacing w:after="0" w:line="240" w:lineRule="auto"/>
                  </w:pPr>
                </w:p>
              </w:tc>
            </w:tr>
          </w:tbl>
          <w:p w:rsidR="00DA0125" w:rsidRDefault="00DA0125">
            <w:pPr>
              <w:spacing w:after="0" w:line="240" w:lineRule="auto"/>
            </w:pPr>
          </w:p>
        </w:tc>
        <w:tc>
          <w:tcPr>
            <w:tcW w:w="338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0"/>
            </w:tblGrid>
            <w:tr w:rsidR="00DA0125">
              <w:trPr>
                <w:trHeight w:val="217"/>
              </w:trPr>
              <w:tc>
                <w:tcPr>
                  <w:tcW w:w="3020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0125" w:rsidRDefault="00DA0125">
                  <w:pPr>
                    <w:spacing w:after="0" w:line="240" w:lineRule="auto"/>
                  </w:pPr>
                </w:p>
              </w:tc>
            </w:tr>
          </w:tbl>
          <w:p w:rsidR="00DA0125" w:rsidRDefault="00DA0125">
            <w:pPr>
              <w:spacing w:after="0" w:line="240" w:lineRule="auto"/>
            </w:pPr>
          </w:p>
        </w:tc>
        <w:tc>
          <w:tcPr>
            <w:tcW w:w="39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</w:tr>
      <w:tr w:rsidR="00DA0125">
        <w:trPr>
          <w:trHeight w:val="20"/>
        </w:trPr>
        <w:tc>
          <w:tcPr>
            <w:tcW w:w="4235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6"/>
            </w:tblGrid>
            <w:tr w:rsidR="00DA0125">
              <w:trPr>
                <w:trHeight w:val="217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0125" w:rsidRDefault="005E010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(parašas)</w:t>
                  </w:r>
                </w:p>
              </w:tc>
            </w:tr>
          </w:tbl>
          <w:p w:rsidR="00DA0125" w:rsidRDefault="00DA0125">
            <w:pPr>
              <w:spacing w:after="0" w:line="240" w:lineRule="auto"/>
            </w:pPr>
          </w:p>
        </w:tc>
        <w:tc>
          <w:tcPr>
            <w:tcW w:w="338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0"/>
            </w:tblGrid>
            <w:tr w:rsidR="00DA0125">
              <w:trPr>
                <w:trHeight w:val="23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0125" w:rsidRDefault="005E010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(vardas ir pavardė)</w:t>
                  </w:r>
                </w:p>
              </w:tc>
            </w:tr>
          </w:tbl>
          <w:p w:rsidR="00DA0125" w:rsidRDefault="00DA0125">
            <w:pPr>
              <w:spacing w:after="0" w:line="240" w:lineRule="auto"/>
            </w:pPr>
          </w:p>
        </w:tc>
        <w:tc>
          <w:tcPr>
            <w:tcW w:w="39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</w:tr>
      <w:tr w:rsidR="00DA0125">
        <w:trPr>
          <w:trHeight w:val="235"/>
        </w:trPr>
        <w:tc>
          <w:tcPr>
            <w:tcW w:w="42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5"/>
            </w:tblGrid>
            <w:tr w:rsidR="00DA0125">
              <w:trPr>
                <w:trHeight w:val="217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A0125" w:rsidRDefault="005E010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 (specialisto pareigos)</w:t>
                  </w:r>
                </w:p>
              </w:tc>
            </w:tr>
          </w:tbl>
          <w:p w:rsidR="00DA0125" w:rsidRDefault="00DA0125">
            <w:pPr>
              <w:spacing w:after="0" w:line="240" w:lineRule="auto"/>
            </w:pPr>
          </w:p>
        </w:tc>
        <w:tc>
          <w:tcPr>
            <w:tcW w:w="254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  <w:vMerge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  <w:vMerge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</w:tr>
      <w:tr w:rsidR="00DA0125">
        <w:trPr>
          <w:trHeight w:val="13"/>
        </w:trPr>
        <w:tc>
          <w:tcPr>
            <w:tcW w:w="4235" w:type="dxa"/>
            <w:vMerge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  <w:vMerge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A0125" w:rsidRDefault="00DA0125">
            <w:pPr>
              <w:pStyle w:val="EmptyCellLayoutStyle"/>
              <w:spacing w:after="0" w:line="240" w:lineRule="auto"/>
            </w:pPr>
          </w:p>
        </w:tc>
      </w:tr>
    </w:tbl>
    <w:p w:rsidR="00DA0125" w:rsidRDefault="00DA0125">
      <w:pPr>
        <w:spacing w:after="0" w:line="240" w:lineRule="auto"/>
      </w:pPr>
    </w:p>
    <w:sectPr w:rsidR="00DA0125">
      <w:headerReference w:type="default" r:id="rId7"/>
      <w:pgSz w:w="11905" w:h="16837"/>
      <w:pgMar w:top="566" w:right="566" w:bottom="1133" w:left="141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05" w:rsidRDefault="005E0105">
      <w:pPr>
        <w:spacing w:after="0" w:line="240" w:lineRule="auto"/>
      </w:pPr>
      <w:r>
        <w:separator/>
      </w:r>
    </w:p>
  </w:endnote>
  <w:endnote w:type="continuationSeparator" w:id="0">
    <w:p w:rsidR="005E0105" w:rsidRDefault="005E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05" w:rsidRDefault="005E0105">
      <w:pPr>
        <w:spacing w:after="0" w:line="240" w:lineRule="auto"/>
      </w:pPr>
      <w:r>
        <w:separator/>
      </w:r>
    </w:p>
  </w:footnote>
  <w:footnote w:type="continuationSeparator" w:id="0">
    <w:p w:rsidR="005E0105" w:rsidRDefault="005E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"/>
      <w:gridCol w:w="9648"/>
    </w:tblGrid>
    <w:tr w:rsidR="00DA0125">
      <w:tc>
        <w:tcPr>
          <w:tcW w:w="117" w:type="dxa"/>
        </w:tcPr>
        <w:p w:rsidR="00DA0125" w:rsidRDefault="00DA0125">
          <w:pPr>
            <w:pStyle w:val="EmptyCellLayoutStyle"/>
            <w:spacing w:after="0" w:line="240" w:lineRule="auto"/>
          </w:pPr>
        </w:p>
      </w:tc>
      <w:tc>
        <w:tcPr>
          <w:tcW w:w="964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648"/>
          </w:tblGrid>
          <w:tr w:rsidR="00DA0125">
            <w:trPr>
              <w:trHeight w:val="212"/>
            </w:trPr>
            <w:tc>
              <w:tcPr>
                <w:tcW w:w="96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0125" w:rsidRDefault="005E0105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t xml:space="preserve"> </w:t>
                </w:r>
              </w:p>
            </w:tc>
          </w:tr>
        </w:tbl>
        <w:p w:rsidR="00DA0125" w:rsidRDefault="00DA0125">
          <w:pPr>
            <w:spacing w:after="0" w:line="240" w:lineRule="auto"/>
          </w:pPr>
        </w:p>
      </w:tc>
    </w:tr>
    <w:tr w:rsidR="00DA0125">
      <w:tc>
        <w:tcPr>
          <w:tcW w:w="117" w:type="dxa"/>
        </w:tcPr>
        <w:p w:rsidR="00DA0125" w:rsidRDefault="00DA0125">
          <w:pPr>
            <w:pStyle w:val="EmptyCellLayoutStyle"/>
            <w:spacing w:after="0" w:line="240" w:lineRule="auto"/>
          </w:pPr>
        </w:p>
      </w:tc>
      <w:tc>
        <w:tcPr>
          <w:tcW w:w="9648" w:type="dxa"/>
        </w:tcPr>
        <w:p w:rsidR="00DA0125" w:rsidRDefault="00DA012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25"/>
    <w:rsid w:val="00235869"/>
    <w:rsid w:val="00516AD2"/>
    <w:rsid w:val="005E0105"/>
    <w:rsid w:val="00D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BBFD"/>
  <w15:docId w15:val="{04332328-71BA-4595-A92A-3BF8F49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Inesa Vytiene</dc:creator>
  <dc:description/>
  <cp:lastModifiedBy>Inesa Vytiene</cp:lastModifiedBy>
  <cp:revision>3</cp:revision>
  <dcterms:created xsi:type="dcterms:W3CDTF">2019-05-20T08:54:00Z</dcterms:created>
  <dcterms:modified xsi:type="dcterms:W3CDTF">2019-05-20T08:55:00Z</dcterms:modified>
</cp:coreProperties>
</file>